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4" w:rsidRDefault="00392864" w:rsidP="0039286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392864" w:rsidRDefault="00392864" w:rsidP="00392864">
      <w:pPr>
        <w:spacing w:line="500" w:lineRule="exact"/>
        <w:ind w:leftChars="-50" w:left="-105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2015年贵州轻工职业技术学院院级课题立项一览表</w:t>
      </w:r>
    </w:p>
    <w:tbl>
      <w:tblPr>
        <w:tblW w:w="8789" w:type="dxa"/>
        <w:tblInd w:w="108" w:type="dxa"/>
        <w:tblLayout w:type="fixed"/>
        <w:tblLook w:val="04A0"/>
      </w:tblPr>
      <w:tblGrid>
        <w:gridCol w:w="1276"/>
        <w:gridCol w:w="1701"/>
        <w:gridCol w:w="1418"/>
        <w:gridCol w:w="1559"/>
        <w:gridCol w:w="1417"/>
        <w:gridCol w:w="1418"/>
      </w:tblGrid>
      <w:tr w:rsidR="00392864" w:rsidTr="00392864">
        <w:trPr>
          <w:trHeight w:val="11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Pr="00392864" w:rsidRDefault="003928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92864">
              <w:rPr>
                <w:rFonts w:ascii="仿宋_GB2312" w:eastAsia="仿宋_GB2312" w:hint="eastAsia"/>
                <w:sz w:val="24"/>
              </w:rPr>
              <w:t>批准编号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Pr="00392864" w:rsidRDefault="003928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92864">
              <w:rPr>
                <w:rFonts w:ascii="仿宋_GB2312" w:eastAsia="仿宋_GB2312" w:hint="eastAsia"/>
                <w:sz w:val="24"/>
              </w:rPr>
              <w:t>院级课题类别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Pr="00392864" w:rsidRDefault="003928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92864">
              <w:rPr>
                <w:rFonts w:ascii="仿宋_GB2312" w:eastAsia="仿宋_GB2312" w:hint="eastAsia"/>
                <w:sz w:val="24"/>
              </w:rPr>
              <w:t>资助经费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Pr="00392864" w:rsidRDefault="003928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92864"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Pr="00392864" w:rsidRDefault="003928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92864">
              <w:rPr>
                <w:rFonts w:ascii="仿宋_GB2312" w:eastAsia="仿宋_GB2312" w:hint="eastAsia"/>
                <w:sz w:val="24"/>
              </w:rPr>
              <w:t>课题负责人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Pr="00392864" w:rsidRDefault="003928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92864">
              <w:rPr>
                <w:rFonts w:ascii="仿宋_GB2312" w:eastAsia="仿宋_GB2312" w:hint="eastAsia"/>
                <w:sz w:val="24"/>
              </w:rPr>
              <w:t>结题时间</w:t>
            </w:r>
          </w:p>
        </w:tc>
      </w:tr>
      <w:tr w:rsidR="00392864" w:rsidTr="00392864">
        <w:trPr>
          <w:trHeight w:val="9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15QY001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自然科学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4000元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64" w:rsidRDefault="0039286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富硒化对博落回有效药用成分的影响</w:t>
            </w:r>
          </w:p>
          <w:p w:rsidR="00392864" w:rsidRDefault="0039286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王珂佳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2016年5月</w:t>
            </w:r>
          </w:p>
        </w:tc>
      </w:tr>
      <w:tr w:rsidR="00392864" w:rsidTr="00392864">
        <w:trPr>
          <w:trHeight w:val="6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15QY002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人文社科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64" w:rsidRDefault="0039286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高职院校蜡染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课实践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教学探索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杨慧梅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2016年5月</w:t>
            </w:r>
          </w:p>
        </w:tc>
      </w:tr>
      <w:tr w:rsidR="00392864" w:rsidTr="00392864">
        <w:trPr>
          <w:trHeight w:val="9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15QY003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人文社科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64" w:rsidRDefault="0039286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会计电算化课程教学模式研究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滕丽娜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2016年5月</w:t>
            </w:r>
          </w:p>
        </w:tc>
      </w:tr>
      <w:tr w:rsidR="00392864" w:rsidTr="00392864">
        <w:trPr>
          <w:trHeight w:val="11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15QY004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人文社科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64" w:rsidRDefault="0039286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传统文化视域下贵州高职院校学生人文素养培育研究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李宏昌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864" w:rsidRDefault="003928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2016年5月</w:t>
            </w:r>
          </w:p>
        </w:tc>
      </w:tr>
    </w:tbl>
    <w:p w:rsidR="00392864" w:rsidRDefault="00392864" w:rsidP="00392864">
      <w:pPr>
        <w:spacing w:line="500" w:lineRule="exact"/>
        <w:jc w:val="left"/>
        <w:rPr>
          <w:rFonts w:hint="eastAsia"/>
          <w:sz w:val="18"/>
          <w:szCs w:val="18"/>
        </w:rPr>
      </w:pPr>
    </w:p>
    <w:p w:rsidR="0038698E" w:rsidRDefault="0038698E"/>
    <w:sectPr w:rsidR="0038698E" w:rsidSect="0038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864"/>
    <w:rsid w:val="0038698E"/>
    <w:rsid w:val="0039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2015-05-15T01:31:00Z</dcterms:created>
  <dcterms:modified xsi:type="dcterms:W3CDTF">2015-05-15T01:32:00Z</dcterms:modified>
</cp:coreProperties>
</file>