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2018年度语言文字规范化专项课题</w:t>
      </w:r>
    </w:p>
    <w:tbl>
      <w:tblPr>
        <w:tblStyle w:val="4"/>
        <w:tblW w:w="9127" w:type="dxa"/>
        <w:jc w:val="center"/>
        <w:tblInd w:w="-2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70"/>
        <w:gridCol w:w="536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eastAsia="zh-CN"/>
              </w:rPr>
              <w:t>所属系部</w:t>
            </w:r>
          </w:p>
        </w:tc>
        <w:tc>
          <w:tcPr>
            <w:tcW w:w="5362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150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校外专家组评审建议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财务处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高校语言文字规范意识和会计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课程应用能力研究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建工系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高职院校语言文字规范化调查与研究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--以贵州轻工职业技术学院为例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艺术系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抗战时期生活器具表面文字分类整理与内涵解析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信息系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规范语言文字 提升学院品味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人文系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新时达下高校学生网络语言规范与引导--以贵州轻工职业技术学院为例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人文系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贵州轻工职业技术学院学生语言文字规范化应用现状和对策研究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机电系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高校语言文字规范化建设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经管系</w:t>
            </w:r>
          </w:p>
        </w:tc>
        <w:tc>
          <w:tcPr>
            <w:tcW w:w="53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“微时代”高校网络语言的规范与引导研究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3DF8"/>
    <w:rsid w:val="2FEF3D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2018-11-19T03:30:00Z</dcterms:created>
  <dc:creator>kyc</dc:creator>
  <cp:lastModifiedBy>kyc</cp:lastModifiedBy>
  <dcterms:modified xsi:type="dcterms:W3CDTF">2018-11-19T03:31:36Z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