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szCs w:val="32"/>
        </w:rPr>
      </w:pPr>
      <w:r>
        <w:rPr>
          <w:rFonts w:hint="eastAsia"/>
          <w:b/>
          <w:bCs/>
          <w:sz w:val="32"/>
          <w:szCs w:val="40"/>
        </w:rPr>
        <w:t>省级工程研究中心</w:t>
      </w:r>
      <w:r>
        <w:rPr>
          <w:rFonts w:hint="eastAsia"/>
          <w:b/>
          <w:bCs/>
          <w:sz w:val="32"/>
          <w:szCs w:val="40"/>
          <w:lang w:eastAsia="zh-CN"/>
        </w:rPr>
        <w:t>第一阶段（2017年6月—2018年6月）</w:t>
      </w:r>
      <w:r>
        <w:rPr>
          <w:rFonts w:hint="eastAsia"/>
          <w:b/>
          <w:bCs/>
          <w:sz w:val="32"/>
          <w:szCs w:val="40"/>
        </w:rPr>
        <w:t>建设任务检查表</w:t>
      </w:r>
    </w:p>
    <w:p>
      <w:pPr>
        <w:rPr>
          <w:rFonts w:asciiTheme="minorEastAsia" w:hAnsiTheme="minorEastAsia" w:cstheme="minorEastAsia"/>
          <w:sz w:val="24"/>
          <w:szCs w:val="32"/>
        </w:rPr>
      </w:pPr>
      <w:r>
        <w:rPr>
          <w:rFonts w:hint="eastAsia" w:asciiTheme="minorEastAsia" w:hAnsiTheme="minorEastAsia" w:cstheme="minorEastAsia"/>
          <w:sz w:val="24"/>
          <w:szCs w:val="32"/>
        </w:rPr>
        <w:t>中心名称：贵州省普通高等学校山地特色水果及制品工程研究中心</w:t>
      </w:r>
      <w:r>
        <w:rPr>
          <w:rFonts w:hint="eastAsia" w:asciiTheme="minorEastAsia" w:hAnsiTheme="minorEastAsia" w:cstheme="minorEastAsia"/>
          <w:sz w:val="24"/>
          <w:szCs w:val="32"/>
        </w:rPr>
        <w:tab/>
      </w:r>
      <w:r>
        <w:rPr>
          <w:rFonts w:hint="eastAsia" w:asciiTheme="minorEastAsia" w:hAnsiTheme="minorEastAsia" w:cstheme="minorEastAsia"/>
          <w:sz w:val="24"/>
          <w:szCs w:val="32"/>
        </w:rPr>
        <w:t xml:space="preserve">  </w:t>
      </w:r>
    </w:p>
    <w:p>
      <w:pPr>
        <w:rPr>
          <w:rFonts w:asciiTheme="minorEastAsia" w:hAnsiTheme="minorEastAsia" w:cstheme="minorEastAsia"/>
          <w:sz w:val="24"/>
          <w:szCs w:val="32"/>
        </w:rPr>
      </w:pPr>
      <w:r>
        <w:rPr>
          <w:rFonts w:hint="eastAsia" w:asciiTheme="minorEastAsia" w:hAnsiTheme="minorEastAsia" w:cstheme="minorEastAsia"/>
          <w:sz w:val="24"/>
          <w:szCs w:val="32"/>
        </w:rPr>
        <w:t xml:space="preserve">中心负责人（签字）：        </w:t>
      </w:r>
      <w:r>
        <w:rPr>
          <w:rFonts w:hint="eastAsia" w:asciiTheme="minorEastAsia" w:hAnsiTheme="minorEastAsia" w:cstheme="minorEastAsia"/>
          <w:sz w:val="24"/>
          <w:szCs w:val="32"/>
          <w:lang w:val="en-US" w:eastAsia="zh-CN"/>
        </w:rPr>
        <w:t xml:space="preserve">   </w:t>
      </w:r>
      <w:r>
        <w:rPr>
          <w:rFonts w:hint="eastAsia" w:asciiTheme="minorEastAsia" w:hAnsiTheme="minorEastAsia" w:cstheme="minorEastAsia"/>
          <w:sz w:val="24"/>
          <w:szCs w:val="32"/>
        </w:rPr>
        <w:t>系部负责人（签字、盖章）：                 分管系部院领导（签字）：</w:t>
      </w:r>
    </w:p>
    <w:p>
      <w:pPr>
        <w:rPr>
          <w:rFonts w:hint="eastAsia" w:asciiTheme="minorEastAsia" w:hAnsiTheme="minorEastAsia" w:cstheme="minorEastAsia"/>
          <w:sz w:val="24"/>
          <w:szCs w:val="32"/>
        </w:rPr>
      </w:pPr>
      <w:r>
        <w:rPr>
          <w:rFonts w:hint="eastAsia" w:asciiTheme="minorEastAsia" w:hAnsiTheme="minorEastAsia" w:cstheme="minorEastAsia"/>
          <w:sz w:val="24"/>
          <w:szCs w:val="32"/>
        </w:rPr>
        <w:t>检查时间：2018年11月16日（周五）</w:t>
      </w:r>
      <w:bookmarkStart w:id="0" w:name="_GoBack"/>
      <w:bookmarkEnd w:id="0"/>
    </w:p>
    <w:p>
      <w:pPr>
        <w:rPr>
          <w:rFonts w:asciiTheme="minorEastAsia" w:hAnsiTheme="minorEastAsia" w:cstheme="minorEastAsia"/>
          <w:sz w:val="24"/>
          <w:szCs w:val="32"/>
        </w:rPr>
      </w:pPr>
      <w:r>
        <w:rPr>
          <w:rFonts w:hint="eastAsia" w:asciiTheme="minorEastAsia" w:hAnsiTheme="minorEastAsia" w:cstheme="minorEastAsia"/>
          <w:sz w:val="24"/>
          <w:szCs w:val="32"/>
          <w:lang w:eastAsia="zh-CN"/>
        </w:rPr>
        <w:t>检查要求：</w:t>
      </w:r>
      <w:r>
        <w:rPr>
          <w:rFonts w:hint="eastAsia" w:asciiTheme="minorEastAsia" w:hAnsiTheme="minorEastAsia" w:cstheme="minorEastAsia"/>
          <w:sz w:val="24"/>
          <w:szCs w:val="32"/>
        </w:rPr>
        <w:t>系部教学科研科提交科研处</w:t>
      </w:r>
      <w:r>
        <w:rPr>
          <w:rFonts w:hint="eastAsia" w:asciiTheme="minorEastAsia" w:hAnsiTheme="minorEastAsia" w:cstheme="minorEastAsia"/>
          <w:sz w:val="24"/>
          <w:szCs w:val="32"/>
          <w:lang w:eastAsia="zh-CN"/>
        </w:rPr>
        <w:t>纸质档①省级工程研究中心第一阶段建设任务完成情况报告；②检查表及支撑材料，电子档①②上传</w:t>
      </w:r>
      <w:r>
        <w:rPr>
          <w:rFonts w:hint="eastAsia" w:asciiTheme="minorEastAsia" w:hAnsiTheme="minorEastAsia" w:cstheme="minorEastAsia"/>
          <w:sz w:val="24"/>
          <w:szCs w:val="32"/>
        </w:rPr>
        <w:t>gzqykyc@163.com</w:t>
      </w:r>
    </w:p>
    <w:tbl>
      <w:tblPr>
        <w:tblStyle w:val="6"/>
        <w:tblW w:w="14997" w:type="dxa"/>
        <w:jc w:val="center"/>
        <w:tblInd w:w="-7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365"/>
        <w:gridCol w:w="497"/>
        <w:gridCol w:w="2096"/>
        <w:gridCol w:w="1979"/>
        <w:gridCol w:w="2704"/>
        <w:gridCol w:w="2550"/>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1079" w:type="dxa"/>
            <w:vAlign w:val="center"/>
          </w:tcPr>
          <w:p>
            <w:pPr>
              <w:jc w:val="center"/>
              <w:rPr>
                <w:rFonts w:asciiTheme="minorEastAsia" w:hAnsiTheme="minorEastAsia" w:cstheme="minorEastAsia"/>
                <w:b/>
                <w:bCs/>
                <w:sz w:val="24"/>
                <w:szCs w:val="32"/>
              </w:rPr>
            </w:pPr>
            <w:r>
              <w:rPr>
                <w:rFonts w:hint="eastAsia" w:asciiTheme="minorEastAsia" w:hAnsiTheme="minorEastAsia" w:cstheme="minorEastAsia"/>
                <w:b/>
                <w:bCs/>
                <w:sz w:val="24"/>
                <w:szCs w:val="32"/>
              </w:rPr>
              <w:t>年度</w:t>
            </w:r>
          </w:p>
        </w:tc>
        <w:tc>
          <w:tcPr>
            <w:tcW w:w="1365" w:type="dxa"/>
            <w:vAlign w:val="center"/>
          </w:tcPr>
          <w:p>
            <w:pPr>
              <w:jc w:val="center"/>
              <w:rPr>
                <w:rFonts w:asciiTheme="minorEastAsia" w:hAnsiTheme="minorEastAsia" w:cstheme="minorEastAsia"/>
                <w:b/>
                <w:bCs/>
                <w:sz w:val="24"/>
                <w:szCs w:val="32"/>
              </w:rPr>
            </w:pPr>
            <w:r>
              <w:rPr>
                <w:rFonts w:hint="eastAsia" w:asciiTheme="minorEastAsia" w:hAnsiTheme="minorEastAsia" w:cstheme="minorEastAsia"/>
                <w:b/>
                <w:bCs/>
                <w:sz w:val="24"/>
                <w:szCs w:val="32"/>
              </w:rPr>
              <w:t>建设内容</w:t>
            </w:r>
          </w:p>
        </w:tc>
        <w:tc>
          <w:tcPr>
            <w:tcW w:w="497" w:type="dxa"/>
            <w:vAlign w:val="center"/>
          </w:tcPr>
          <w:p>
            <w:pPr>
              <w:jc w:val="center"/>
            </w:pPr>
            <w:r>
              <w:rPr>
                <w:rFonts w:hint="eastAsia" w:asciiTheme="minorEastAsia" w:hAnsiTheme="minorEastAsia" w:cstheme="minorEastAsia"/>
                <w:b/>
                <w:bCs/>
                <w:sz w:val="24"/>
                <w:szCs w:val="32"/>
              </w:rPr>
              <w:t>序号</w:t>
            </w:r>
          </w:p>
        </w:tc>
        <w:tc>
          <w:tcPr>
            <w:tcW w:w="2096" w:type="dxa"/>
            <w:vAlign w:val="center"/>
          </w:tcPr>
          <w:p>
            <w:pPr>
              <w:jc w:val="center"/>
              <w:rPr>
                <w:rFonts w:asciiTheme="minorEastAsia" w:hAnsiTheme="minorEastAsia" w:cstheme="minorEastAsia"/>
                <w:b/>
                <w:bCs/>
                <w:sz w:val="24"/>
                <w:szCs w:val="32"/>
              </w:rPr>
            </w:pPr>
            <w:r>
              <w:rPr>
                <w:rFonts w:hint="eastAsia" w:asciiTheme="minorEastAsia" w:hAnsiTheme="minorEastAsia" w:cstheme="minorEastAsia"/>
                <w:b/>
                <w:bCs/>
                <w:sz w:val="24"/>
                <w:szCs w:val="32"/>
              </w:rPr>
              <w:t>阶段目标</w:t>
            </w:r>
          </w:p>
        </w:tc>
        <w:tc>
          <w:tcPr>
            <w:tcW w:w="1979" w:type="dxa"/>
            <w:vAlign w:val="center"/>
          </w:tcPr>
          <w:p>
            <w:pPr>
              <w:jc w:val="center"/>
              <w:rPr>
                <w:rFonts w:asciiTheme="minorEastAsia" w:hAnsiTheme="minorEastAsia" w:cstheme="minorEastAsia"/>
                <w:b/>
                <w:bCs/>
                <w:sz w:val="24"/>
                <w:szCs w:val="32"/>
              </w:rPr>
            </w:pPr>
            <w:r>
              <w:rPr>
                <w:rFonts w:hint="eastAsia" w:asciiTheme="minorEastAsia" w:hAnsiTheme="minorEastAsia" w:cstheme="minorEastAsia"/>
                <w:b/>
                <w:bCs/>
                <w:sz w:val="24"/>
                <w:szCs w:val="32"/>
              </w:rPr>
              <w:t>2017年6月—11月完成情况</w:t>
            </w:r>
          </w:p>
        </w:tc>
        <w:tc>
          <w:tcPr>
            <w:tcW w:w="2704" w:type="dxa"/>
            <w:vAlign w:val="center"/>
          </w:tcPr>
          <w:p>
            <w:pPr>
              <w:jc w:val="center"/>
              <w:rPr>
                <w:rFonts w:hint="eastAsia" w:asciiTheme="minorEastAsia" w:hAnsiTheme="minorEastAsia" w:cstheme="minorEastAsia"/>
                <w:b/>
                <w:bCs/>
                <w:sz w:val="24"/>
                <w:szCs w:val="32"/>
              </w:rPr>
            </w:pPr>
            <w:r>
              <w:rPr>
                <w:rFonts w:hint="eastAsia" w:asciiTheme="minorEastAsia" w:hAnsiTheme="minorEastAsia" w:cstheme="minorEastAsia"/>
                <w:b/>
                <w:bCs/>
                <w:sz w:val="24"/>
                <w:szCs w:val="32"/>
              </w:rPr>
              <w:t>对应支撑材料名称</w:t>
            </w:r>
          </w:p>
          <w:p>
            <w:pPr>
              <w:jc w:val="center"/>
              <w:rPr>
                <w:rFonts w:asciiTheme="minorEastAsia" w:hAnsiTheme="minorEastAsia" w:cstheme="minorEastAsia"/>
                <w:b/>
                <w:bCs/>
                <w:sz w:val="24"/>
                <w:szCs w:val="32"/>
              </w:rPr>
            </w:pPr>
            <w:r>
              <w:rPr>
                <w:rFonts w:hint="eastAsia" w:asciiTheme="minorEastAsia" w:hAnsiTheme="minorEastAsia" w:cstheme="minorEastAsia"/>
                <w:b/>
                <w:bCs/>
                <w:sz w:val="24"/>
                <w:szCs w:val="32"/>
              </w:rPr>
              <w:t>（附支撑材料）</w:t>
            </w:r>
          </w:p>
        </w:tc>
        <w:tc>
          <w:tcPr>
            <w:tcW w:w="2550" w:type="dxa"/>
            <w:vAlign w:val="center"/>
          </w:tcPr>
          <w:p>
            <w:pPr>
              <w:jc w:val="center"/>
              <w:rPr>
                <w:rFonts w:asciiTheme="minorEastAsia" w:hAnsiTheme="minorEastAsia" w:cstheme="minorEastAsia"/>
                <w:b/>
                <w:bCs/>
                <w:sz w:val="24"/>
                <w:szCs w:val="32"/>
              </w:rPr>
            </w:pPr>
            <w:r>
              <w:rPr>
                <w:rFonts w:hint="eastAsia" w:asciiTheme="minorEastAsia" w:hAnsiTheme="minorEastAsia" w:cstheme="minorEastAsia"/>
                <w:b/>
                <w:bCs/>
                <w:sz w:val="24"/>
                <w:szCs w:val="32"/>
              </w:rPr>
              <w:t>2017年12月—2018年6月完成情况</w:t>
            </w:r>
          </w:p>
        </w:tc>
        <w:tc>
          <w:tcPr>
            <w:tcW w:w="2727" w:type="dxa"/>
            <w:vAlign w:val="center"/>
          </w:tcPr>
          <w:p>
            <w:pPr>
              <w:jc w:val="center"/>
              <w:rPr>
                <w:rFonts w:hint="eastAsia" w:asciiTheme="minorEastAsia" w:hAnsiTheme="minorEastAsia" w:cstheme="minorEastAsia"/>
                <w:b/>
                <w:bCs/>
                <w:sz w:val="24"/>
                <w:szCs w:val="32"/>
              </w:rPr>
            </w:pPr>
            <w:r>
              <w:rPr>
                <w:rFonts w:hint="eastAsia" w:asciiTheme="minorEastAsia" w:hAnsiTheme="minorEastAsia" w:cstheme="minorEastAsia"/>
                <w:b/>
                <w:bCs/>
                <w:sz w:val="24"/>
                <w:szCs w:val="32"/>
              </w:rPr>
              <w:t>对应支撑材料名称</w:t>
            </w:r>
          </w:p>
          <w:p>
            <w:pPr>
              <w:jc w:val="center"/>
              <w:rPr>
                <w:rFonts w:hint="eastAsia" w:asciiTheme="minorEastAsia" w:hAnsiTheme="minorEastAsia" w:cstheme="minorEastAsia"/>
                <w:b/>
                <w:bCs/>
                <w:sz w:val="24"/>
                <w:szCs w:val="32"/>
              </w:rPr>
            </w:pPr>
            <w:r>
              <w:rPr>
                <w:rFonts w:hint="eastAsia" w:asciiTheme="minorEastAsia" w:hAnsiTheme="minorEastAsia" w:cstheme="minorEastAsia"/>
                <w:b/>
                <w:bCs/>
                <w:sz w:val="24"/>
                <w:szCs w:val="32"/>
              </w:rPr>
              <w:t>（附支撑材料）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79" w:type="dxa"/>
            <w:vMerge w:val="restart"/>
            <w:vAlign w:val="center"/>
          </w:tcPr>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r>
              <w:rPr>
                <w:rFonts w:hint="eastAsia" w:asciiTheme="minorEastAsia" w:hAnsiTheme="minorEastAsia" w:cstheme="minorEastAsia"/>
                <w:sz w:val="24"/>
                <w:szCs w:val="32"/>
              </w:rPr>
              <w:t>2017年6月—2018年6月</w:t>
            </w: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p>
          <w:p>
            <w:pPr>
              <w:jc w:val="center"/>
              <w:rPr>
                <w:rFonts w:hint="eastAsia" w:asciiTheme="minorEastAsia" w:hAnsiTheme="minorEastAsia" w:cstheme="minorEastAsia"/>
                <w:sz w:val="24"/>
                <w:szCs w:val="32"/>
              </w:rPr>
            </w:pPr>
            <w:r>
              <w:rPr>
                <w:rFonts w:hint="eastAsia" w:asciiTheme="minorEastAsia" w:hAnsiTheme="minorEastAsia" w:cstheme="minorEastAsia"/>
                <w:sz w:val="24"/>
                <w:szCs w:val="32"/>
              </w:rPr>
              <w:t>2017年6月—2018年6月</w:t>
            </w:r>
          </w:p>
        </w:tc>
        <w:tc>
          <w:tcPr>
            <w:tcW w:w="1365" w:type="dxa"/>
            <w:vMerge w:val="restart"/>
            <w:vAlign w:val="center"/>
          </w:tcPr>
          <w:p>
            <w:pPr>
              <w:adjustRightInd w:val="0"/>
              <w:snapToGrid w:val="0"/>
              <w:rPr>
                <w:rFonts w:asciiTheme="minorEastAsia" w:hAnsiTheme="minorEastAsia" w:cstheme="minorEastAsia"/>
                <w:sz w:val="24"/>
              </w:rPr>
            </w:pPr>
            <w:r>
              <w:rPr>
                <w:rFonts w:hint="eastAsia" w:asciiTheme="minorEastAsia" w:hAnsiTheme="minorEastAsia" w:cstheme="minorEastAsia"/>
                <w:sz w:val="24"/>
              </w:rPr>
              <w:t>确定工程研究中心新建核心场地，启动基地建设；</w:t>
            </w:r>
          </w:p>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确定需求，开始仪器购置工作；</w:t>
            </w:r>
          </w:p>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完成首批领军专家聘用和专职应用型实验技术人才引进；</w:t>
            </w:r>
          </w:p>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出台工程研究中心体制机制管理办法，明确运行经费保障；</w:t>
            </w:r>
          </w:p>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启动技术项目开发研究。</w:t>
            </w:r>
          </w:p>
        </w:tc>
        <w:tc>
          <w:tcPr>
            <w:tcW w:w="497" w:type="dxa"/>
            <w:vAlign w:val="center"/>
          </w:tcPr>
          <w:p>
            <w:pPr>
              <w:jc w:val="center"/>
            </w:pPr>
            <w:r>
              <w:rPr>
                <w:rFonts w:hint="eastAsia" w:asciiTheme="minorEastAsia" w:hAnsiTheme="minorEastAsia" w:cstheme="minorEastAsia"/>
                <w:sz w:val="24"/>
                <w:szCs w:val="32"/>
              </w:rPr>
              <w:t>1</w:t>
            </w:r>
          </w:p>
        </w:tc>
        <w:tc>
          <w:tcPr>
            <w:tcW w:w="2096" w:type="dxa"/>
          </w:tcPr>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确定工程中心核心新扩建场地1000平方米以上，开始整体装修。</w:t>
            </w:r>
          </w:p>
        </w:tc>
        <w:tc>
          <w:tcPr>
            <w:tcW w:w="1979" w:type="dxa"/>
          </w:tcPr>
          <w:p>
            <w:pPr>
              <w:jc w:val="left"/>
              <w:rPr>
                <w:rFonts w:asciiTheme="minorEastAsia" w:hAnsiTheme="minorEastAsia" w:cstheme="minorEastAsia"/>
                <w:sz w:val="24"/>
                <w:szCs w:val="32"/>
              </w:rPr>
            </w:pPr>
            <w:r>
              <w:rPr>
                <w:rFonts w:hint="eastAsia" w:asciiTheme="minorEastAsia" w:hAnsiTheme="minorEastAsia" w:cstheme="minorEastAsia"/>
                <w:sz w:val="24"/>
                <w:szCs w:val="32"/>
              </w:rPr>
              <w:t>明确了扩建的地点，轻工化工系2楼410平方米，双创园1000平方米以上，并确定了装修方案，绘制了装修图纸</w:t>
            </w:r>
          </w:p>
        </w:tc>
        <w:tc>
          <w:tcPr>
            <w:tcW w:w="2704" w:type="dxa"/>
          </w:tcPr>
          <w:p>
            <w:pPr>
              <w:jc w:val="left"/>
              <w:rPr>
                <w:rFonts w:asciiTheme="minorEastAsia" w:hAnsiTheme="minorEastAsia" w:cstheme="minorEastAsia"/>
                <w:sz w:val="24"/>
                <w:szCs w:val="32"/>
              </w:rPr>
            </w:pPr>
          </w:p>
        </w:tc>
        <w:tc>
          <w:tcPr>
            <w:tcW w:w="2550"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基本完成</w:t>
            </w:r>
            <w:r>
              <w:rPr>
                <w:rFonts w:hint="eastAsia" w:asciiTheme="minorEastAsia" w:hAnsiTheme="minorEastAsia" w:cstheme="minorEastAsia"/>
                <w:sz w:val="24"/>
              </w:rPr>
              <w:t>核心新扩建场地1000平方米以上</w:t>
            </w:r>
            <w:r>
              <w:rPr>
                <w:rFonts w:hint="eastAsia" w:asciiTheme="minorEastAsia" w:hAnsiTheme="minorEastAsia" w:cstheme="minorEastAsia"/>
                <w:sz w:val="24"/>
                <w:szCs w:val="32"/>
              </w:rPr>
              <w:t>装修</w:t>
            </w:r>
          </w:p>
        </w:tc>
        <w:tc>
          <w:tcPr>
            <w:tcW w:w="2727" w:type="dxa"/>
          </w:tcPr>
          <w:p>
            <w:pPr>
              <w:jc w:val="center"/>
              <w:rPr>
                <w:rFonts w:hint="eastAsia" w:asciiTheme="minorEastAsia" w:hAnsiTheme="minorEastAsia" w:cstheme="minorEastAsia"/>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4" w:hRule="atLeast"/>
          <w:jc w:val="center"/>
        </w:trPr>
        <w:tc>
          <w:tcPr>
            <w:tcW w:w="1079" w:type="dxa"/>
            <w:vMerge w:val="continue"/>
            <w:vAlign w:val="center"/>
          </w:tcPr>
          <w:p>
            <w:pPr>
              <w:jc w:val="center"/>
              <w:rPr>
                <w:rFonts w:asciiTheme="minorEastAsia" w:hAnsiTheme="minorEastAsia" w:cstheme="minorEastAsia"/>
                <w:sz w:val="24"/>
                <w:szCs w:val="32"/>
              </w:rPr>
            </w:pPr>
          </w:p>
        </w:tc>
        <w:tc>
          <w:tcPr>
            <w:tcW w:w="1365" w:type="dxa"/>
            <w:vMerge w:val="continue"/>
            <w:vAlign w:val="center"/>
          </w:tcPr>
          <w:p>
            <w:pPr>
              <w:adjustRightInd w:val="0"/>
              <w:snapToGrid w:val="0"/>
              <w:rPr>
                <w:rFonts w:asciiTheme="minorEastAsia" w:hAnsiTheme="minorEastAsia" w:cstheme="minorEastAsia"/>
                <w:sz w:val="24"/>
                <w:szCs w:val="32"/>
              </w:rPr>
            </w:pPr>
          </w:p>
        </w:tc>
        <w:tc>
          <w:tcPr>
            <w:tcW w:w="497" w:type="dxa"/>
            <w:vAlign w:val="center"/>
          </w:tcPr>
          <w:p>
            <w:pPr>
              <w:jc w:val="center"/>
            </w:pPr>
            <w:r>
              <w:rPr>
                <w:rFonts w:hint="eastAsia" w:asciiTheme="minorEastAsia" w:hAnsiTheme="minorEastAsia" w:cstheme="minorEastAsia"/>
                <w:sz w:val="24"/>
                <w:szCs w:val="32"/>
              </w:rPr>
              <w:t>2</w:t>
            </w:r>
          </w:p>
        </w:tc>
        <w:tc>
          <w:tcPr>
            <w:tcW w:w="2096" w:type="dxa"/>
          </w:tcPr>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广泛调研省内外类似研究机构现状，明确500万以上的仪器资源需求，制定仪器需求计划，开始招投标工作。</w:t>
            </w:r>
          </w:p>
        </w:tc>
        <w:tc>
          <w:tcPr>
            <w:tcW w:w="1979"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已经</w:t>
            </w:r>
            <w:r>
              <w:rPr>
                <w:rFonts w:hint="eastAsia" w:asciiTheme="minorEastAsia" w:hAnsiTheme="minorEastAsia" w:cstheme="minorEastAsia"/>
                <w:sz w:val="24"/>
              </w:rPr>
              <w:t>明确了500万以上的仪器资源需求，制定仪器需求计划，通过院长办公会</w:t>
            </w:r>
          </w:p>
        </w:tc>
        <w:tc>
          <w:tcPr>
            <w:tcW w:w="2704" w:type="dxa"/>
          </w:tcPr>
          <w:p>
            <w:pPr>
              <w:jc w:val="center"/>
              <w:rPr>
                <w:rFonts w:asciiTheme="minorEastAsia" w:hAnsiTheme="minorEastAsia" w:cstheme="minorEastAsia"/>
                <w:sz w:val="24"/>
                <w:szCs w:val="32"/>
              </w:rPr>
            </w:pPr>
          </w:p>
        </w:tc>
        <w:tc>
          <w:tcPr>
            <w:tcW w:w="2550" w:type="dxa"/>
          </w:tcPr>
          <w:p>
            <w:pPr>
              <w:jc w:val="center"/>
              <w:rPr>
                <w:rFonts w:hint="eastAsia" w:asciiTheme="minorEastAsia" w:hAnsiTheme="minorEastAsia" w:cstheme="minorEastAsia"/>
                <w:sz w:val="24"/>
              </w:rPr>
            </w:pPr>
            <w:r>
              <w:rPr>
                <w:rFonts w:hint="eastAsia" w:asciiTheme="minorEastAsia" w:hAnsiTheme="minorEastAsia" w:cstheme="minorEastAsia"/>
                <w:sz w:val="24"/>
              </w:rPr>
              <w:t>开始并招投标工作。</w:t>
            </w:r>
          </w:p>
          <w:p>
            <w:pPr>
              <w:jc w:val="center"/>
              <w:rPr>
                <w:rFonts w:hint="eastAsia" w:asciiTheme="minorEastAsia" w:hAnsiTheme="minorEastAsia" w:cstheme="minorEastAsia"/>
                <w:sz w:val="24"/>
              </w:rPr>
            </w:pPr>
          </w:p>
        </w:tc>
        <w:tc>
          <w:tcPr>
            <w:tcW w:w="2727" w:type="dxa"/>
          </w:tcPr>
          <w:p>
            <w:pPr>
              <w:jc w:val="center"/>
              <w:rPr>
                <w:rFonts w:hint="eastAsia" w:asciiTheme="minorEastAsia" w:hAnsiTheme="minorEastAsia" w:cs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7" w:hRule="atLeast"/>
          <w:jc w:val="center"/>
        </w:trPr>
        <w:tc>
          <w:tcPr>
            <w:tcW w:w="1079" w:type="dxa"/>
            <w:vMerge w:val="continue"/>
            <w:vAlign w:val="center"/>
          </w:tcPr>
          <w:p>
            <w:pPr>
              <w:jc w:val="center"/>
              <w:rPr>
                <w:rFonts w:asciiTheme="minorEastAsia" w:hAnsiTheme="minorEastAsia" w:cstheme="minorEastAsia"/>
                <w:sz w:val="24"/>
                <w:szCs w:val="32"/>
              </w:rPr>
            </w:pPr>
          </w:p>
        </w:tc>
        <w:tc>
          <w:tcPr>
            <w:tcW w:w="1365" w:type="dxa"/>
            <w:vMerge w:val="continue"/>
            <w:vAlign w:val="center"/>
          </w:tcPr>
          <w:p>
            <w:pPr>
              <w:adjustRightInd w:val="0"/>
              <w:snapToGrid w:val="0"/>
              <w:rPr>
                <w:rFonts w:asciiTheme="minorEastAsia" w:hAnsiTheme="minorEastAsia" w:cstheme="minorEastAsia"/>
                <w:sz w:val="24"/>
                <w:szCs w:val="32"/>
              </w:rPr>
            </w:pPr>
          </w:p>
        </w:tc>
        <w:tc>
          <w:tcPr>
            <w:tcW w:w="497" w:type="dxa"/>
            <w:vAlign w:val="center"/>
          </w:tcPr>
          <w:p>
            <w:pPr>
              <w:jc w:val="center"/>
            </w:pPr>
            <w:r>
              <w:rPr>
                <w:rFonts w:hint="eastAsia" w:asciiTheme="minorEastAsia" w:hAnsiTheme="minorEastAsia" w:cstheme="minorEastAsia"/>
                <w:sz w:val="24"/>
                <w:szCs w:val="32"/>
              </w:rPr>
              <w:t>3</w:t>
            </w:r>
          </w:p>
        </w:tc>
        <w:tc>
          <w:tcPr>
            <w:tcW w:w="2096" w:type="dxa"/>
          </w:tcPr>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根据具体需求，柔性吸引聘用行业领军专家1-3名，招聘工程研究中心工作人员4名。</w:t>
            </w:r>
          </w:p>
        </w:tc>
        <w:tc>
          <w:tcPr>
            <w:tcW w:w="1979"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招聘硕士研究所何丝汀到工程中心工作；招收8名学生到工程中心工作</w:t>
            </w:r>
          </w:p>
        </w:tc>
        <w:tc>
          <w:tcPr>
            <w:tcW w:w="2704" w:type="dxa"/>
          </w:tcPr>
          <w:p>
            <w:pPr>
              <w:jc w:val="center"/>
              <w:rPr>
                <w:rFonts w:asciiTheme="minorEastAsia" w:hAnsiTheme="minorEastAsia" w:cstheme="minorEastAsia"/>
                <w:sz w:val="24"/>
                <w:szCs w:val="32"/>
              </w:rPr>
            </w:pPr>
          </w:p>
        </w:tc>
        <w:tc>
          <w:tcPr>
            <w:tcW w:w="2550"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完成</w:t>
            </w:r>
            <w:r>
              <w:rPr>
                <w:rFonts w:hint="eastAsia" w:asciiTheme="minorEastAsia" w:hAnsiTheme="minorEastAsia" w:cstheme="minorEastAsia"/>
                <w:sz w:val="24"/>
              </w:rPr>
              <w:t>柔性聘用行业领军专家1-3名，招聘工程研究中心工作人员4名</w:t>
            </w:r>
          </w:p>
        </w:tc>
        <w:tc>
          <w:tcPr>
            <w:tcW w:w="2727" w:type="dxa"/>
          </w:tcPr>
          <w:p>
            <w:pPr>
              <w:jc w:val="center"/>
              <w:rPr>
                <w:rFonts w:hint="eastAsia" w:asciiTheme="minorEastAsia" w:hAnsiTheme="minorEastAsia" w:cstheme="minorEastAsia"/>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1079" w:type="dxa"/>
            <w:vMerge w:val="continue"/>
            <w:vAlign w:val="center"/>
          </w:tcPr>
          <w:p>
            <w:pPr>
              <w:jc w:val="center"/>
              <w:rPr>
                <w:rFonts w:asciiTheme="minorEastAsia" w:hAnsiTheme="minorEastAsia" w:cstheme="minorEastAsia"/>
                <w:sz w:val="24"/>
                <w:szCs w:val="32"/>
              </w:rPr>
            </w:pPr>
          </w:p>
        </w:tc>
        <w:tc>
          <w:tcPr>
            <w:tcW w:w="1365" w:type="dxa"/>
            <w:vMerge w:val="continue"/>
            <w:vAlign w:val="center"/>
          </w:tcPr>
          <w:p>
            <w:pPr>
              <w:adjustRightInd w:val="0"/>
              <w:snapToGrid w:val="0"/>
              <w:rPr>
                <w:rFonts w:asciiTheme="minorEastAsia" w:hAnsiTheme="minorEastAsia" w:cstheme="minorEastAsia"/>
                <w:sz w:val="24"/>
                <w:szCs w:val="32"/>
              </w:rPr>
            </w:pPr>
          </w:p>
        </w:tc>
        <w:tc>
          <w:tcPr>
            <w:tcW w:w="497" w:type="dxa"/>
            <w:vAlign w:val="center"/>
          </w:tcPr>
          <w:p>
            <w:pPr>
              <w:jc w:val="center"/>
            </w:pPr>
            <w:r>
              <w:rPr>
                <w:rFonts w:hint="eastAsia" w:asciiTheme="minorEastAsia" w:hAnsiTheme="minorEastAsia" w:cstheme="minorEastAsia"/>
                <w:sz w:val="24"/>
                <w:szCs w:val="32"/>
              </w:rPr>
              <w:t>4</w:t>
            </w:r>
          </w:p>
        </w:tc>
        <w:tc>
          <w:tcPr>
            <w:tcW w:w="2096" w:type="dxa"/>
          </w:tcPr>
          <w:p>
            <w:pPr>
              <w:adjustRightInd w:val="0"/>
              <w:snapToGrid w:val="0"/>
              <w:rPr>
                <w:rFonts w:asciiTheme="minorEastAsia" w:hAnsiTheme="minorEastAsia" w:cstheme="minorEastAsia"/>
                <w:sz w:val="24"/>
                <w:szCs w:val="32"/>
              </w:rPr>
            </w:pPr>
            <w:r>
              <w:rPr>
                <w:rFonts w:hint="eastAsia" w:asciiTheme="minorEastAsia" w:hAnsiTheme="minorEastAsia" w:cstheme="minorEastAsia"/>
                <w:sz w:val="24"/>
              </w:rPr>
              <w:t>不断完善工程研究中心工作体制机制，出台《工程研究中心管理暂行办法》，明确每年学院拨款运行经费不少于30万元。</w:t>
            </w:r>
          </w:p>
        </w:tc>
        <w:tc>
          <w:tcPr>
            <w:tcW w:w="1979" w:type="dxa"/>
          </w:tcPr>
          <w:p>
            <w:pPr>
              <w:jc w:val="center"/>
              <w:rPr>
                <w:rFonts w:asciiTheme="minorEastAsia" w:hAnsiTheme="minorEastAsia" w:cstheme="minorEastAsia"/>
                <w:sz w:val="24"/>
                <w:szCs w:val="32"/>
              </w:rPr>
            </w:pPr>
            <w:r>
              <w:rPr>
                <w:rFonts w:hint="eastAsia" w:asciiTheme="minorEastAsia" w:hAnsiTheme="minorEastAsia" w:cstheme="minorEastAsia"/>
                <w:sz w:val="24"/>
              </w:rPr>
              <w:t>出台《工程研究中心管理暂行办法》，明确每年学院拨款运行经费5万元。</w:t>
            </w:r>
          </w:p>
        </w:tc>
        <w:tc>
          <w:tcPr>
            <w:tcW w:w="2704" w:type="dxa"/>
          </w:tcPr>
          <w:p>
            <w:pPr>
              <w:jc w:val="center"/>
              <w:rPr>
                <w:rFonts w:asciiTheme="minorEastAsia" w:hAnsiTheme="minorEastAsia" w:cstheme="minorEastAsia"/>
                <w:sz w:val="24"/>
              </w:rPr>
            </w:pPr>
          </w:p>
        </w:tc>
        <w:tc>
          <w:tcPr>
            <w:tcW w:w="2550"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已经完成</w:t>
            </w:r>
          </w:p>
        </w:tc>
        <w:tc>
          <w:tcPr>
            <w:tcW w:w="2727" w:type="dxa"/>
          </w:tcPr>
          <w:p>
            <w:pPr>
              <w:jc w:val="center"/>
              <w:rPr>
                <w:rFonts w:hint="eastAsia" w:asciiTheme="minorEastAsia" w:hAnsiTheme="minorEastAsia" w:cstheme="minorEastAsia"/>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4" w:hRule="atLeast"/>
          <w:jc w:val="center"/>
        </w:trPr>
        <w:tc>
          <w:tcPr>
            <w:tcW w:w="1079" w:type="dxa"/>
            <w:vMerge w:val="continue"/>
            <w:vAlign w:val="center"/>
          </w:tcPr>
          <w:p>
            <w:pPr>
              <w:jc w:val="center"/>
              <w:rPr>
                <w:rFonts w:asciiTheme="minorEastAsia" w:hAnsiTheme="minorEastAsia" w:cstheme="minorEastAsia"/>
                <w:sz w:val="24"/>
                <w:szCs w:val="32"/>
              </w:rPr>
            </w:pPr>
          </w:p>
        </w:tc>
        <w:tc>
          <w:tcPr>
            <w:tcW w:w="1365" w:type="dxa"/>
            <w:vMerge w:val="continue"/>
            <w:vAlign w:val="center"/>
          </w:tcPr>
          <w:p>
            <w:pPr>
              <w:adjustRightInd w:val="0"/>
              <w:snapToGrid w:val="0"/>
              <w:rPr>
                <w:rFonts w:asciiTheme="minorEastAsia" w:hAnsiTheme="minorEastAsia" w:cstheme="minorEastAsia"/>
                <w:sz w:val="24"/>
                <w:szCs w:val="32"/>
              </w:rPr>
            </w:pPr>
          </w:p>
        </w:tc>
        <w:tc>
          <w:tcPr>
            <w:tcW w:w="497" w:type="dxa"/>
            <w:vAlign w:val="center"/>
          </w:tcPr>
          <w:p>
            <w:pPr>
              <w:jc w:val="center"/>
            </w:pPr>
            <w:r>
              <w:rPr>
                <w:rFonts w:hint="eastAsia" w:asciiTheme="minorEastAsia" w:hAnsiTheme="minorEastAsia" w:cstheme="minorEastAsia"/>
                <w:sz w:val="24"/>
                <w:szCs w:val="32"/>
              </w:rPr>
              <w:t>5</w:t>
            </w:r>
          </w:p>
        </w:tc>
        <w:tc>
          <w:tcPr>
            <w:tcW w:w="2096" w:type="dxa"/>
          </w:tcPr>
          <w:p>
            <w:pPr>
              <w:rPr>
                <w:rFonts w:asciiTheme="minorEastAsia" w:hAnsiTheme="minorEastAsia" w:cstheme="minorEastAsia"/>
                <w:sz w:val="24"/>
              </w:rPr>
            </w:pPr>
            <w:r>
              <w:rPr>
                <w:rFonts w:hint="eastAsia" w:asciiTheme="minorEastAsia" w:hAnsiTheme="minorEastAsia" w:cstheme="minorEastAsia"/>
                <w:sz w:val="24"/>
              </w:rPr>
              <w:t>设立1个专项研究课题，围绕蓝莓、猕猴桃和刺梨等贵州特色水果及其发酵制品等方面开展专项及应用型研究，研究注意吸纳、培养学生和企业一线技术人员参加。</w:t>
            </w:r>
          </w:p>
        </w:tc>
        <w:tc>
          <w:tcPr>
            <w:tcW w:w="1979"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已经申报并且立项</w:t>
            </w:r>
            <w:r>
              <w:rPr>
                <w:rFonts w:asciiTheme="minorEastAsia" w:hAnsiTheme="minorEastAsia" w:cstheme="minorEastAsia"/>
                <w:sz w:val="24"/>
                <w:szCs w:val="32"/>
              </w:rPr>
              <w:t>—</w:t>
            </w:r>
            <w:r>
              <w:rPr>
                <w:rFonts w:hint="eastAsia" w:asciiTheme="minorEastAsia" w:hAnsiTheme="minorEastAsia" w:cstheme="minorEastAsia"/>
                <w:sz w:val="24"/>
                <w:szCs w:val="32"/>
              </w:rPr>
              <w:t>贵州口岸截获昆虫预警技术，是中国科学院重点部署项目子课题，</w:t>
            </w:r>
            <w:r>
              <w:rPr>
                <w:rFonts w:hint="eastAsia" w:asciiTheme="minorEastAsia" w:hAnsiTheme="minorEastAsia" w:cstheme="minorEastAsia"/>
                <w:sz w:val="24"/>
              </w:rPr>
              <w:t>吸纳、培养学生和企业一线技术人员参加</w:t>
            </w:r>
          </w:p>
        </w:tc>
        <w:tc>
          <w:tcPr>
            <w:tcW w:w="2704" w:type="dxa"/>
          </w:tcPr>
          <w:p>
            <w:pPr>
              <w:jc w:val="center"/>
              <w:rPr>
                <w:rFonts w:asciiTheme="minorEastAsia" w:hAnsiTheme="minorEastAsia" w:cstheme="minorEastAsia"/>
                <w:sz w:val="24"/>
                <w:szCs w:val="32"/>
              </w:rPr>
            </w:pPr>
          </w:p>
        </w:tc>
        <w:tc>
          <w:tcPr>
            <w:tcW w:w="2550" w:type="dxa"/>
          </w:tcPr>
          <w:p>
            <w:pPr>
              <w:jc w:val="center"/>
              <w:rPr>
                <w:rFonts w:asciiTheme="minorEastAsia" w:hAnsiTheme="minorEastAsia" w:cstheme="minorEastAsia"/>
                <w:sz w:val="24"/>
                <w:szCs w:val="32"/>
              </w:rPr>
            </w:pPr>
            <w:r>
              <w:rPr>
                <w:rFonts w:hint="eastAsia" w:asciiTheme="minorEastAsia" w:hAnsiTheme="minorEastAsia" w:cstheme="minorEastAsia"/>
                <w:sz w:val="24"/>
                <w:szCs w:val="32"/>
              </w:rPr>
              <w:t>已经完成</w:t>
            </w:r>
          </w:p>
        </w:tc>
        <w:tc>
          <w:tcPr>
            <w:tcW w:w="2727" w:type="dxa"/>
          </w:tcPr>
          <w:p>
            <w:pPr>
              <w:jc w:val="center"/>
              <w:rPr>
                <w:rFonts w:hint="eastAsia" w:asciiTheme="minorEastAsia" w:hAnsiTheme="minorEastAsia" w:cstheme="minorEastAsia"/>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4" w:hRule="atLeast"/>
          <w:jc w:val="center"/>
        </w:trPr>
        <w:tc>
          <w:tcPr>
            <w:tcW w:w="1079" w:type="dxa"/>
            <w:vMerge w:val="continue"/>
            <w:vAlign w:val="center"/>
          </w:tcPr>
          <w:p>
            <w:pPr>
              <w:jc w:val="center"/>
              <w:rPr>
                <w:rFonts w:asciiTheme="minorEastAsia" w:hAnsiTheme="minorEastAsia" w:cstheme="minorEastAsia"/>
                <w:sz w:val="24"/>
                <w:szCs w:val="32"/>
              </w:rPr>
            </w:pPr>
          </w:p>
        </w:tc>
        <w:tc>
          <w:tcPr>
            <w:tcW w:w="1862" w:type="dxa"/>
            <w:gridSpan w:val="2"/>
            <w:vAlign w:val="center"/>
          </w:tcPr>
          <w:p>
            <w:pPr>
              <w:adjustRightInd w:val="0"/>
              <w:snapToGrid w:val="0"/>
              <w:jc w:val="center"/>
              <w:rPr>
                <w:rFonts w:asciiTheme="minorEastAsia" w:hAnsiTheme="minorEastAsia" w:cstheme="minorEastAsia"/>
                <w:sz w:val="24"/>
                <w:szCs w:val="32"/>
              </w:rPr>
            </w:pPr>
            <w:r>
              <w:rPr>
                <w:rFonts w:hint="eastAsia" w:asciiTheme="minorEastAsia" w:hAnsiTheme="minorEastAsia" w:cstheme="minorEastAsia"/>
                <w:sz w:val="24"/>
                <w:szCs w:val="32"/>
              </w:rPr>
              <w:t>2017年6月—2018年6月</w:t>
            </w:r>
            <w:r>
              <w:rPr>
                <w:rFonts w:hint="eastAsia" w:asciiTheme="majorEastAsia" w:hAnsiTheme="majorEastAsia" w:eastAsiaTheme="majorEastAsia" w:cstheme="majorEastAsia"/>
                <w:b w:val="0"/>
                <w:bCs/>
                <w:sz w:val="24"/>
                <w:szCs w:val="32"/>
                <w:lang w:val="en-US" w:eastAsia="zh-CN"/>
              </w:rPr>
              <w:t>建设内容标志性成果</w:t>
            </w:r>
          </w:p>
          <w:p>
            <w:pPr>
              <w:jc w:val="center"/>
              <w:rPr>
                <w:rFonts w:hint="eastAsia" w:asciiTheme="minorEastAsia" w:hAnsiTheme="minorEastAsia" w:eastAsiaTheme="minorEastAsia" w:cstheme="minorEastAsia"/>
                <w:sz w:val="24"/>
                <w:szCs w:val="32"/>
                <w:lang w:val="en-US" w:eastAsia="zh-CN"/>
              </w:rPr>
            </w:pPr>
          </w:p>
        </w:tc>
        <w:tc>
          <w:tcPr>
            <w:tcW w:w="12056" w:type="dxa"/>
            <w:gridSpan w:val="5"/>
          </w:tcPr>
          <w:p>
            <w:pPr>
              <w:jc w:val="both"/>
              <w:rPr>
                <w:rFonts w:hint="eastAsia" w:asciiTheme="minorEastAsia" w:hAnsiTheme="minorEastAsia" w:cstheme="minorEastAsia"/>
                <w:sz w:val="24"/>
                <w:szCs w:val="32"/>
              </w:rPr>
            </w:pPr>
          </w:p>
          <w:p>
            <w:pPr>
              <w:jc w:val="both"/>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lang w:val="en-US" w:eastAsia="zh-CN"/>
              </w:rPr>
              <w:t>1、</w:t>
            </w:r>
          </w:p>
          <w:p>
            <w:pPr>
              <w:jc w:val="both"/>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lang w:val="en-US" w:eastAsia="zh-CN"/>
              </w:rPr>
              <w:t>2、</w:t>
            </w:r>
          </w:p>
          <w:p>
            <w:pPr>
              <w:jc w:val="both"/>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lang w:val="en-US" w:eastAsia="zh-CN"/>
              </w:rPr>
              <w:t>3、</w:t>
            </w:r>
          </w:p>
          <w:p>
            <w:pPr>
              <w:jc w:val="both"/>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lang w:val="en-US" w:eastAsia="zh-CN"/>
              </w:rPr>
              <w:t>4、</w:t>
            </w:r>
          </w:p>
          <w:p>
            <w:pPr>
              <w:jc w:val="both"/>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lang w:val="en-US" w:eastAsia="zh-CN"/>
              </w:rPr>
              <w:t>……</w:t>
            </w:r>
          </w:p>
        </w:tc>
      </w:tr>
    </w:tbl>
    <w:p/>
    <w:p/>
    <w:sectPr>
      <w:pgSz w:w="16838" w:h="11906"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2A4ABA"/>
    <w:rsid w:val="00025A34"/>
    <w:rsid w:val="00032593"/>
    <w:rsid w:val="0004323B"/>
    <w:rsid w:val="00091DF9"/>
    <w:rsid w:val="00184526"/>
    <w:rsid w:val="00236A30"/>
    <w:rsid w:val="002B7FDC"/>
    <w:rsid w:val="003F061D"/>
    <w:rsid w:val="00570742"/>
    <w:rsid w:val="00691848"/>
    <w:rsid w:val="008C70AB"/>
    <w:rsid w:val="00980941"/>
    <w:rsid w:val="009876B0"/>
    <w:rsid w:val="00A05062"/>
    <w:rsid w:val="00A31953"/>
    <w:rsid w:val="00AB041E"/>
    <w:rsid w:val="00B43EF4"/>
    <w:rsid w:val="00BA4068"/>
    <w:rsid w:val="00BB3A64"/>
    <w:rsid w:val="00F325AD"/>
    <w:rsid w:val="04FC1745"/>
    <w:rsid w:val="096F5522"/>
    <w:rsid w:val="115857B2"/>
    <w:rsid w:val="135E54DB"/>
    <w:rsid w:val="13697446"/>
    <w:rsid w:val="14A4323C"/>
    <w:rsid w:val="16AE3FA4"/>
    <w:rsid w:val="19194BE7"/>
    <w:rsid w:val="1B1B670B"/>
    <w:rsid w:val="1B244C8C"/>
    <w:rsid w:val="22772D70"/>
    <w:rsid w:val="24D73927"/>
    <w:rsid w:val="258C5337"/>
    <w:rsid w:val="2A1E67F6"/>
    <w:rsid w:val="2AA04A71"/>
    <w:rsid w:val="2AEC6373"/>
    <w:rsid w:val="2C040BCC"/>
    <w:rsid w:val="2C615C64"/>
    <w:rsid w:val="2DA70C43"/>
    <w:rsid w:val="2EA46D87"/>
    <w:rsid w:val="2ED3621E"/>
    <w:rsid w:val="2F2A4ABA"/>
    <w:rsid w:val="2F5F749F"/>
    <w:rsid w:val="306D01ED"/>
    <w:rsid w:val="30FA3FF5"/>
    <w:rsid w:val="31AF6AF4"/>
    <w:rsid w:val="3374053C"/>
    <w:rsid w:val="33977627"/>
    <w:rsid w:val="34276D91"/>
    <w:rsid w:val="34533CE6"/>
    <w:rsid w:val="3A8E3737"/>
    <w:rsid w:val="3AED5C83"/>
    <w:rsid w:val="3BBC3F69"/>
    <w:rsid w:val="3D687B54"/>
    <w:rsid w:val="419A6935"/>
    <w:rsid w:val="41EC00BC"/>
    <w:rsid w:val="4323030D"/>
    <w:rsid w:val="462A3B73"/>
    <w:rsid w:val="4754226E"/>
    <w:rsid w:val="4AB62E86"/>
    <w:rsid w:val="4AFB6195"/>
    <w:rsid w:val="4B8025FC"/>
    <w:rsid w:val="4EF90748"/>
    <w:rsid w:val="4FAC1AB5"/>
    <w:rsid w:val="50E24E7D"/>
    <w:rsid w:val="54A4527B"/>
    <w:rsid w:val="5664437B"/>
    <w:rsid w:val="580C7C71"/>
    <w:rsid w:val="59B023B6"/>
    <w:rsid w:val="5ABB44A1"/>
    <w:rsid w:val="5CCB66C1"/>
    <w:rsid w:val="60626230"/>
    <w:rsid w:val="61827F19"/>
    <w:rsid w:val="64341EB1"/>
    <w:rsid w:val="67F65658"/>
    <w:rsid w:val="69A421E5"/>
    <w:rsid w:val="69B264A1"/>
    <w:rsid w:val="6AC01DFF"/>
    <w:rsid w:val="6C68014A"/>
    <w:rsid w:val="6C6E5839"/>
    <w:rsid w:val="6DFC79AF"/>
    <w:rsid w:val="6EDF53B6"/>
    <w:rsid w:val="6EFC5CDC"/>
    <w:rsid w:val="706B08A6"/>
    <w:rsid w:val="714E4EAE"/>
    <w:rsid w:val="739F4D66"/>
    <w:rsid w:val="753F07ED"/>
    <w:rsid w:val="75FF5DFE"/>
    <w:rsid w:val="7664795A"/>
    <w:rsid w:val="76B06D6F"/>
    <w:rsid w:val="76E10570"/>
    <w:rsid w:val="76E5143E"/>
    <w:rsid w:val="76F62B83"/>
    <w:rsid w:val="77A849C6"/>
    <w:rsid w:val="77EA11B3"/>
    <w:rsid w:val="78253432"/>
    <w:rsid w:val="793A1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unhideWhenUsed/>
    <w:qFormat/>
    <w:uiPriority w:val="99"/>
    <w:pPr>
      <w:ind w:firstLine="420" w:firstLineChars="200"/>
    </w:pPr>
  </w:style>
  <w:style w:type="character" w:customStyle="1" w:styleId="8">
    <w:name w:val="页眉 Char"/>
    <w:basedOn w:val="4"/>
    <w:link w:val="3"/>
    <w:uiPriority w:val="0"/>
    <w:rPr>
      <w:kern w:val="2"/>
      <w:sz w:val="18"/>
      <w:szCs w:val="18"/>
    </w:rPr>
  </w:style>
  <w:style w:type="character" w:customStyle="1" w:styleId="9">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220</Words>
  <Characters>1257</Characters>
  <Lines>10</Lines>
  <Paragraphs>2</Paragraphs>
  <TotalTime>0</TotalTime>
  <ScaleCrop>false</ScaleCrop>
  <LinksUpToDate>false</LinksUpToDate>
  <CharactersWithSpaces>1475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2017-10-11T06:13:00Z</dcterms:created>
  <dc:creator>gzqy</dc:creator>
  <cp:lastModifiedBy>Administrator</cp:lastModifiedBy>
  <dcterms:modified xsi:type="dcterms:W3CDTF">2018-09-17T01:29:11Z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