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2018年度省级优质学校“社会服务项目”建设进度执行报告表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 xml:space="preserve">NO:7贵州现代物流职业教育集团     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</w:rPr>
        <w:t xml:space="preserve">报送时间：  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分管系部院领导（签字）：             所属部门负责人（签字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、盖章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</w:rPr>
        <w:t xml:space="preserve">）：           项目负责人（签字）： </w:t>
      </w:r>
    </w:p>
    <w:p>
      <w:pPr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sz w:val="20"/>
          <w:szCs w:val="22"/>
        </w:rPr>
        <w:t>报送要求：2018年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0"/>
          <w:szCs w:val="22"/>
        </w:rPr>
        <w:t>月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0"/>
          <w:szCs w:val="22"/>
        </w:rPr>
        <w:t>日</w:t>
      </w:r>
      <w:r>
        <w:rPr>
          <w:rFonts w:hint="eastAsia" w:asciiTheme="minorEastAsia" w:hAnsiTheme="minorEastAsia" w:cstheme="minorEastAsia"/>
          <w:sz w:val="20"/>
          <w:szCs w:val="22"/>
          <w:lang w:eastAsia="zh-CN"/>
        </w:rPr>
        <w:t>（周五）由</w:t>
      </w:r>
      <w:r>
        <w:rPr>
          <w:rFonts w:hint="eastAsia" w:asciiTheme="minorEastAsia" w:hAnsiTheme="minorEastAsia" w:cstheme="minorEastAsia"/>
          <w:sz w:val="20"/>
          <w:szCs w:val="22"/>
        </w:rPr>
        <w:t>系部教学科研科提交科研处；</w:t>
      </w:r>
    </w:p>
    <w:p>
      <w:pPr>
        <w:ind w:firstLine="803" w:firstLineChars="400"/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1.</w:t>
      </w:r>
      <w:r>
        <w:rPr>
          <w:rFonts w:hint="eastAsia" w:asciiTheme="minorEastAsia" w:hAnsiTheme="minorEastAsia" w:cstheme="minorEastAsia"/>
          <w:sz w:val="20"/>
          <w:szCs w:val="22"/>
        </w:rPr>
        <w:t>执行报告表纸质档（签字、盖章）；</w:t>
      </w: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2.</w:t>
      </w:r>
      <w:r>
        <w:rPr>
          <w:rFonts w:hint="eastAsia" w:asciiTheme="minorEastAsia" w:hAnsiTheme="minorEastAsia" w:cstheme="minorEastAsia"/>
          <w:sz w:val="20"/>
          <w:szCs w:val="22"/>
        </w:rPr>
        <w:t>支撑材料（已完成项目）纸质档。（1、2电子档发送科研处邮箱：gzqykyc@163.com）</w:t>
      </w:r>
    </w:p>
    <w:tbl>
      <w:tblPr>
        <w:tblStyle w:val="7"/>
        <w:tblW w:w="15590" w:type="dxa"/>
        <w:jc w:val="center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140"/>
        <w:gridCol w:w="1623"/>
        <w:gridCol w:w="2496"/>
        <w:gridCol w:w="1718"/>
        <w:gridCol w:w="2018"/>
        <w:gridCol w:w="996"/>
        <w:gridCol w:w="98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2" w:type="dxa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序号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2018年建设内容</w:t>
            </w:r>
          </w:p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已完成内容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未完成内容</w:t>
            </w:r>
          </w:p>
        </w:tc>
        <w:tc>
          <w:tcPr>
            <w:tcW w:w="982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责任人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</w:tc>
        <w:tc>
          <w:tcPr>
            <w:tcW w:w="845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772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4140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已完成项目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对应支撑材料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（详列具体名称）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未完成项目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未完成原因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拟完成的时间</w:t>
            </w:r>
          </w:p>
        </w:tc>
        <w:tc>
          <w:tcPr>
            <w:tcW w:w="982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2017年度未完成项目</w:t>
            </w: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资源共建共享建设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>1.创建贵州省现代物流职业教育集团网站；创建贵州省现代物流职业教育集团报刊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示范辐射能力建设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>2.实现实训基地、课程标准、校企师资等优质资源的免费共享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</w:t>
            </w: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体制机制建设。</w:t>
            </w:r>
            <w:r>
              <w:rPr>
                <w:rFonts w:hint="eastAsia" w:ascii="宋体" w:hAnsi="宋体" w:eastAsia="宋体" w:cs="宋体"/>
                <w:sz w:val="24"/>
              </w:rPr>
              <w:t>1.优化专业委员会人员结构，制定行业培训课程体系；2.建立集团内行之有效的顶岗实习管理模式以及考核监控机制；3.出台《贵州省现代物流职业教育集团交流活动管理制度》；4.提高企业一线技术人员到职业院校担任兼职教师的比重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1.专业合作建设委员会引进技术专家、能工巧匠8人；制定行业培训课程体系；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2.总结职业院校顶岗实习过程管理成功经验，编写顶岗实习管理案例并进行推广；建立顶岗实习管理模式以及考核监控机制体系；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3.制订《贵州省现代物流职业教育集团交流活动管理制度》；组织“贵州省物流行业技能人才见面会”3-5次；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4.设立专项基金，企业一线技术人员到职业院校担任兼职教师占专业课教师总数的50%以上。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资源共建共享建设。</w:t>
            </w:r>
            <w:r>
              <w:rPr>
                <w:rFonts w:hint="eastAsia"/>
                <w:sz w:val="24"/>
                <w:szCs w:val="32"/>
              </w:rPr>
              <w:t>1.充实网站内容，及时更新相关信息，向成员单位开放文件上传权限；充实集团模块内容；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2.基地培训能力提升，年接纳培训学生人数、接纳教师培训达一定人次；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3.完成基地的挂牌工作；实习指导教师队伍达到一定规模；出台《顶岗实习管理规范》和顶岗实习考核评价标准；基地年接纳顶岗实习学生人数达一定人次。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1.每周固定更新网站3次，重大事项、重要资料及时更新；向成员单位开放文件上传权限；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2.培训学生人数达600人次和教师培训达50人次；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3.完成基地挂牌工作，实习指导教师队伍人数达30余人；制订《顶岗实习管理规范》和顶岗实习考核评价标准；基地年接纳顶岗实习学生人数达200人次。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77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人才培养模式创新。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1.出台专业人才培养标准；2.在相关企业开展培训工作。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1.制订物流类、邮政快递类、经济贸易类专业人才培养标准；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2.在5家具备条件的企业开展培训工作。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四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政策环境建设。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实现集团内校企、校际等多层次、多元化、全方位的深度合作，开展校企合作项目的申报及立项工作。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征集、发布校企合作项目指南；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2.开展第一批校企合作项目的申报、立项。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五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示范辐射能力建设。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建立完善企业人员培训体系，完成社会培训人员达一定比例。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1.制订企业人员培训体系；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2.完成社会培训120人次。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六</w:t>
            </w:r>
          </w:p>
        </w:tc>
        <w:tc>
          <w:tcPr>
            <w:tcW w:w="4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32"/>
                <w:lang w:val="en-US" w:eastAsia="zh-CN"/>
              </w:rPr>
              <w:t>2017-2018建设内容标志性成果</w:t>
            </w:r>
          </w:p>
        </w:tc>
        <w:tc>
          <w:tcPr>
            <w:tcW w:w="10678" w:type="dxa"/>
            <w:gridSpan w:val="7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4、</w:t>
            </w: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New York">
    <w:altName w:val="Cambria Math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gfa Rotis Sans Serif">
    <w:altName w:val="MS PGothic"/>
    <w:panose1 w:val="02000606080000020004"/>
    <w:charset w:val="00"/>
    <w:family w:val="auto"/>
    <w:pitch w:val="default"/>
    <w:sig w:usb0="00000000" w:usb1="00000000" w:usb2="00000000" w:usb3="00000000" w:csb0="00000001" w:csb1="00000000"/>
  </w:font>
  <w:font w:name="Agfa Rotis Sans Serif ExBd">
    <w:altName w:val="Times New Roman"/>
    <w:panose1 w:val="02000603050000020004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Hei-B01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Yet R">
    <w:altName w:val="Batang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FGPHb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PL细上海宋Un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PL中楷Un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汉仪仿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C0C8"/>
    <w:multiLevelType w:val="singleLevel"/>
    <w:tmpl w:val="5A41C0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4107E"/>
    <w:rsid w:val="000929C2"/>
    <w:rsid w:val="001F314E"/>
    <w:rsid w:val="002D2086"/>
    <w:rsid w:val="007368E4"/>
    <w:rsid w:val="03D90FAF"/>
    <w:rsid w:val="06DD214D"/>
    <w:rsid w:val="08D872D2"/>
    <w:rsid w:val="0AFC20B3"/>
    <w:rsid w:val="0DAE26A5"/>
    <w:rsid w:val="0DE021EF"/>
    <w:rsid w:val="0EE97DFD"/>
    <w:rsid w:val="105411CC"/>
    <w:rsid w:val="14C57B7F"/>
    <w:rsid w:val="1D825519"/>
    <w:rsid w:val="2D2964FA"/>
    <w:rsid w:val="2E9A72CF"/>
    <w:rsid w:val="30680942"/>
    <w:rsid w:val="308641DD"/>
    <w:rsid w:val="3B1F1653"/>
    <w:rsid w:val="3FDB337E"/>
    <w:rsid w:val="44875787"/>
    <w:rsid w:val="4CBE4209"/>
    <w:rsid w:val="4D154C2A"/>
    <w:rsid w:val="4F147D10"/>
    <w:rsid w:val="53D72D0C"/>
    <w:rsid w:val="5D6E3511"/>
    <w:rsid w:val="5DF821E5"/>
    <w:rsid w:val="609C59C4"/>
    <w:rsid w:val="6229506F"/>
    <w:rsid w:val="64C42789"/>
    <w:rsid w:val="67F4107E"/>
    <w:rsid w:val="6C2B7A0C"/>
    <w:rsid w:val="6C7D438E"/>
    <w:rsid w:val="71B77FE1"/>
    <w:rsid w:val="733F6A66"/>
    <w:rsid w:val="79964981"/>
    <w:rsid w:val="7A2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1162</Characters>
  <Lines>9</Lines>
  <Paragraphs>2</Paragraphs>
  <ScaleCrop>false</ScaleCrop>
  <LinksUpToDate>false</LinksUpToDate>
  <CharactersWithSpaces>1363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2017-09-20T03:21:00Z</dcterms:created>
  <dc:creator>gzqy</dc:creator>
  <cp:lastModifiedBy>Administrator</cp:lastModifiedBy>
  <dcterms:modified xsi:type="dcterms:W3CDTF">2018-04-03T07:02:22Z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