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900" w:type="dxa"/>
        <w:jc w:val="center"/>
        <w:tblCellSpacing w:w="0" w:type="dxa"/>
        <w:tblInd w:w="0" w:type="dxa"/>
        <w:shd w:val="clear" w:color="auto" w:fill="FFFFFF"/>
        <w:tblLayout w:type="fixed"/>
        <w:tblCellMar>
          <w:top w:w="0" w:type="dxa"/>
          <w:left w:w="0" w:type="dxa"/>
          <w:bottom w:w="0" w:type="dxa"/>
          <w:right w:w="0" w:type="dxa"/>
        </w:tblCellMar>
      </w:tblPr>
      <w:tblGrid>
        <w:gridCol w:w="9900"/>
      </w:tblGrid>
      <w:tr>
        <w:tblPrEx>
          <w:shd w:val="clear" w:color="auto" w:fill="FFFFFF"/>
          <w:tblLayout w:type="fixed"/>
          <w:tblCellMar>
            <w:top w:w="0" w:type="dxa"/>
            <w:left w:w="0" w:type="dxa"/>
            <w:bottom w:w="0" w:type="dxa"/>
            <w:right w:w="0" w:type="dxa"/>
          </w:tblCellMar>
        </w:tblPrEx>
        <w:trPr>
          <w:trHeight w:val="825" w:hRule="atLeast"/>
          <w:tblCellSpacing w:w="0" w:type="dxa"/>
          <w:jc w:val="center"/>
        </w:trPr>
        <w:tc>
          <w:tcPr>
            <w:tcW w:w="9900" w:type="dxa"/>
            <w:shd w:val="clear" w:color="auto" w:fill="FFFFFF"/>
            <w:vAlign w:val="center"/>
          </w:tcPr>
          <w:p>
            <w:pPr>
              <w:widowControl/>
              <w:jc w:val="center"/>
              <w:rPr>
                <w:rFonts w:ascii="宋体" w:hAnsi="宋体" w:eastAsia="宋体" w:cs="宋体"/>
                <w:b/>
                <w:bCs/>
                <w:color w:val="FF0000"/>
                <w:kern w:val="0"/>
                <w:sz w:val="44"/>
                <w:szCs w:val="44"/>
              </w:rPr>
            </w:pPr>
            <w:r>
              <w:rPr>
                <w:rFonts w:ascii="宋体" w:hAnsi="宋体" w:eastAsia="宋体" w:cs="宋体"/>
                <w:b/>
                <w:bCs/>
                <w:color w:val="FF0000"/>
                <w:kern w:val="0"/>
                <w:sz w:val="44"/>
                <w:szCs w:val="44"/>
              </w:rPr>
              <w:t>教 育 部 司 局 函 件</w:t>
            </w:r>
          </w:p>
        </w:tc>
      </w:tr>
      <w:tr>
        <w:tblPrEx>
          <w:tblLayout w:type="fixed"/>
          <w:tblCellMar>
            <w:top w:w="0" w:type="dxa"/>
            <w:left w:w="0" w:type="dxa"/>
            <w:bottom w:w="0" w:type="dxa"/>
            <w:right w:w="0" w:type="dxa"/>
          </w:tblCellMar>
        </w:tblPrEx>
        <w:trPr>
          <w:trHeight w:val="75" w:hRule="atLeast"/>
          <w:tblCellSpacing w:w="0" w:type="dxa"/>
          <w:jc w:val="center"/>
        </w:trPr>
        <w:tc>
          <w:tcPr>
            <w:tcW w:w="9900" w:type="dxa"/>
            <w:shd w:val="clear" w:color="auto" w:fill="FF0000"/>
            <w:vAlign w:val="center"/>
          </w:tcPr>
          <w:p>
            <w:pPr>
              <w:widowControl/>
              <w:jc w:val="left"/>
              <w:rPr>
                <w:rFonts w:ascii="宋体" w:hAnsi="宋体" w:eastAsia="宋体" w:cs="宋体"/>
                <w:kern w:val="0"/>
                <w:sz w:val="8"/>
                <w:szCs w:val="24"/>
              </w:rPr>
            </w:pPr>
          </w:p>
        </w:tc>
      </w:tr>
      <w:tr>
        <w:tblPrEx>
          <w:tblLayout w:type="fixed"/>
          <w:tblCellMar>
            <w:top w:w="0" w:type="dxa"/>
            <w:left w:w="0" w:type="dxa"/>
            <w:bottom w:w="0" w:type="dxa"/>
            <w:right w:w="0" w:type="dxa"/>
          </w:tblCellMar>
        </w:tblPrEx>
        <w:trPr>
          <w:trHeight w:val="15" w:hRule="atLeast"/>
          <w:tblCellSpacing w:w="0" w:type="dxa"/>
          <w:jc w:val="center"/>
        </w:trPr>
        <w:tc>
          <w:tcPr>
            <w:tcW w:w="9900" w:type="dxa"/>
            <w:shd w:val="clear" w:color="auto" w:fill="FFFFFF"/>
            <w:vAlign w:val="center"/>
          </w:tcPr>
          <w:p>
            <w:pPr>
              <w:widowControl/>
              <w:jc w:val="left"/>
              <w:rPr>
                <w:rFonts w:ascii="宋体" w:hAnsi="宋体" w:eastAsia="宋体" w:cs="宋体"/>
                <w:kern w:val="0"/>
                <w:sz w:val="2"/>
                <w:szCs w:val="24"/>
              </w:rPr>
            </w:pPr>
          </w:p>
        </w:tc>
      </w:tr>
      <w:tr>
        <w:tblPrEx>
          <w:tblLayout w:type="fixed"/>
          <w:tblCellMar>
            <w:top w:w="0" w:type="dxa"/>
            <w:left w:w="0" w:type="dxa"/>
            <w:bottom w:w="0" w:type="dxa"/>
            <w:right w:w="0" w:type="dxa"/>
          </w:tblCellMar>
        </w:tblPrEx>
        <w:trPr>
          <w:trHeight w:val="15" w:hRule="atLeast"/>
          <w:tblCellSpacing w:w="0" w:type="dxa"/>
          <w:jc w:val="center"/>
        </w:trPr>
        <w:tc>
          <w:tcPr>
            <w:tcW w:w="9900" w:type="dxa"/>
            <w:shd w:val="clear" w:color="auto" w:fill="FF0000"/>
            <w:vAlign w:val="center"/>
          </w:tcPr>
          <w:p>
            <w:pPr>
              <w:widowControl/>
              <w:jc w:val="left"/>
              <w:rPr>
                <w:rFonts w:ascii="宋体" w:hAnsi="宋体" w:eastAsia="宋体" w:cs="宋体"/>
                <w:kern w:val="0"/>
                <w:sz w:val="2"/>
                <w:szCs w:val="24"/>
              </w:rPr>
            </w:pPr>
          </w:p>
        </w:tc>
      </w:tr>
    </w:tbl>
    <w:p>
      <w:pPr>
        <w:widowControl/>
        <w:jc w:val="left"/>
        <w:rPr>
          <w:rFonts w:ascii="宋体" w:hAnsi="宋体" w:eastAsia="宋体" w:cs="宋体"/>
          <w:vanish/>
          <w:kern w:val="0"/>
          <w:sz w:val="24"/>
          <w:szCs w:val="24"/>
        </w:rPr>
      </w:pPr>
    </w:p>
    <w:tbl>
      <w:tblPr>
        <w:tblStyle w:val="3"/>
        <w:tblW w:w="9750" w:type="dxa"/>
        <w:jc w:val="center"/>
        <w:tblCellSpacing w:w="0" w:type="dxa"/>
        <w:tblInd w:w="0" w:type="dxa"/>
        <w:shd w:val="clear" w:color="auto" w:fill="FFFFFF"/>
        <w:tblLayout w:type="fixed"/>
        <w:tblCellMar>
          <w:top w:w="0" w:type="dxa"/>
          <w:left w:w="0" w:type="dxa"/>
          <w:bottom w:w="0" w:type="dxa"/>
          <w:right w:w="0" w:type="dxa"/>
        </w:tblCellMar>
      </w:tblPr>
      <w:tblGrid>
        <w:gridCol w:w="9750"/>
      </w:tblGrid>
      <w:tr>
        <w:tblPrEx>
          <w:shd w:val="clear" w:color="auto" w:fill="FFFFFF"/>
          <w:tblLayout w:type="fixed"/>
        </w:tblPrEx>
        <w:trPr>
          <w:tblCellSpacing w:w="0" w:type="dxa"/>
          <w:jc w:val="center"/>
        </w:trPr>
        <w:tc>
          <w:tcPr>
            <w:tcW w:w="9750" w:type="dxa"/>
            <w:shd w:val="clear" w:color="auto" w:fill="FFFFFF"/>
          </w:tcPr>
          <w:p>
            <w:pPr>
              <w:widowControl/>
              <w:jc w:val="center"/>
              <w:rPr>
                <w:rFonts w:ascii="宋体" w:hAnsi="宋体" w:eastAsia="宋体" w:cs="宋体"/>
                <w:kern w:val="0"/>
                <w:sz w:val="24"/>
                <w:szCs w:val="24"/>
              </w:rPr>
            </w:pPr>
            <w:r>
              <w:rPr>
                <w:rFonts w:ascii="宋体" w:hAnsi="宋体" w:eastAsia="宋体" w:cs="宋体"/>
                <w:kern w:val="0"/>
                <w:sz w:val="24"/>
                <w:szCs w:val="24"/>
              </w:rPr>
              <w:t> </w:t>
            </w:r>
          </w:p>
          <w:p>
            <w:pPr>
              <w:widowControl/>
              <w:jc w:val="right"/>
              <w:rPr>
                <w:rFonts w:ascii="宋体" w:hAnsi="宋体" w:eastAsia="宋体" w:cs="宋体"/>
                <w:kern w:val="0"/>
                <w:sz w:val="24"/>
                <w:szCs w:val="24"/>
              </w:rPr>
            </w:pPr>
            <w:r>
              <w:rPr>
                <w:rFonts w:ascii="宋体" w:hAnsi="宋体" w:eastAsia="宋体" w:cs="宋体"/>
                <w:kern w:val="0"/>
                <w:sz w:val="18"/>
                <w:szCs w:val="18"/>
              </w:rPr>
              <w:t>教社科司函〔2018〕137号</w:t>
            </w:r>
          </w:p>
          <w:p>
            <w:pPr>
              <w:widowControl/>
              <w:jc w:val="center"/>
              <w:rPr>
                <w:rFonts w:ascii="宋体" w:hAnsi="宋体" w:eastAsia="宋体" w:cs="宋体"/>
                <w:kern w:val="0"/>
                <w:sz w:val="24"/>
                <w:szCs w:val="24"/>
              </w:rPr>
            </w:pPr>
            <w:r>
              <w:rPr>
                <w:rFonts w:ascii="宋体" w:hAnsi="宋体" w:eastAsia="宋体" w:cs="宋体"/>
                <w:kern w:val="0"/>
                <w:sz w:val="24"/>
                <w:szCs w:val="24"/>
              </w:rPr>
              <w:t> </w:t>
            </w:r>
          </w:p>
          <w:tbl>
            <w:tblPr>
              <w:tblStyle w:val="3"/>
              <w:tblW w:w="9750" w:type="dxa"/>
              <w:jc w:val="center"/>
              <w:tblCellSpacing w:w="0" w:type="dxa"/>
              <w:tblInd w:w="0" w:type="dxa"/>
              <w:tblLayout w:type="fixed"/>
              <w:tblCellMar>
                <w:top w:w="0" w:type="dxa"/>
                <w:left w:w="0" w:type="dxa"/>
                <w:bottom w:w="0" w:type="dxa"/>
                <w:right w:w="0" w:type="dxa"/>
              </w:tblCellMar>
            </w:tblPr>
            <w:tblGrid>
              <w:gridCol w:w="9750"/>
            </w:tblGrid>
            <w:tr>
              <w:tblPrEx>
                <w:tblLayout w:type="fixed"/>
                <w:tblCellMar>
                  <w:top w:w="0" w:type="dxa"/>
                  <w:left w:w="0" w:type="dxa"/>
                  <w:bottom w:w="0" w:type="dxa"/>
                  <w:right w:w="0" w:type="dxa"/>
                </w:tblCellMar>
              </w:tblPrEx>
              <w:trPr>
                <w:tblCellSpacing w:w="0" w:type="dxa"/>
                <w:jc w:val="center"/>
              </w:trPr>
              <w:tc>
                <w:tcPr>
                  <w:tcW w:w="9750" w:type="dxa"/>
                  <w:vAlign w:val="bottom"/>
                </w:tcPr>
                <w:tbl>
                  <w:tblPr>
                    <w:tblStyle w:val="3"/>
                    <w:tblW w:w="8775" w:type="dxa"/>
                    <w:jc w:val="center"/>
                    <w:tblCellSpacing w:w="0" w:type="dxa"/>
                    <w:tblInd w:w="0" w:type="dxa"/>
                    <w:tblLayout w:type="fixed"/>
                    <w:tblCellMar>
                      <w:top w:w="0" w:type="dxa"/>
                      <w:left w:w="0" w:type="dxa"/>
                      <w:bottom w:w="0" w:type="dxa"/>
                      <w:right w:w="0" w:type="dxa"/>
                    </w:tblCellMar>
                  </w:tblPr>
                  <w:tblGrid>
                    <w:gridCol w:w="8775"/>
                  </w:tblGrid>
                  <w:tr>
                    <w:tblPrEx>
                      <w:tblLayout w:type="fixed"/>
                      <w:tblCellMar>
                        <w:top w:w="0" w:type="dxa"/>
                        <w:left w:w="0" w:type="dxa"/>
                        <w:bottom w:w="0" w:type="dxa"/>
                        <w:right w:w="0" w:type="dxa"/>
                      </w:tblCellMar>
                    </w:tblPrEx>
                    <w:trPr>
                      <w:tblCellSpacing w:w="0" w:type="dxa"/>
                      <w:jc w:val="center"/>
                    </w:trPr>
                    <w:tc>
                      <w:tcPr>
                        <w:tcW w:w="8775" w:type="dxa"/>
                        <w:vAlign w:val="center"/>
                      </w:tcPr>
                      <w:p>
                        <w:pPr>
                          <w:widowControl/>
                          <w:spacing w:before="100" w:beforeAutospacing="1" w:after="100" w:afterAutospacing="1"/>
                          <w:jc w:val="center"/>
                          <w:outlineLvl w:val="2"/>
                          <w:rPr>
                            <w:rFonts w:ascii="宋体" w:hAnsi="宋体" w:eastAsia="宋体" w:cs="宋体"/>
                            <w:b/>
                            <w:bCs/>
                            <w:color w:val="000000"/>
                            <w:kern w:val="0"/>
                            <w:sz w:val="30"/>
                            <w:szCs w:val="30"/>
                          </w:rPr>
                        </w:pPr>
                        <w:r>
                          <w:rPr>
                            <w:rFonts w:ascii="宋体" w:hAnsi="宋体" w:eastAsia="宋体" w:cs="宋体"/>
                            <w:b/>
                            <w:bCs/>
                            <w:color w:val="000000"/>
                            <w:kern w:val="0"/>
                            <w:sz w:val="30"/>
                            <w:szCs w:val="30"/>
                          </w:rPr>
                          <w:t>教育部社科司关于2019年度教育部人文社会科学研究</w:t>
                        </w:r>
                        <w:r>
                          <w:rPr>
                            <w:rFonts w:ascii="宋体" w:hAnsi="宋体" w:eastAsia="宋体" w:cs="宋体"/>
                            <w:b/>
                            <w:bCs/>
                            <w:color w:val="000000"/>
                            <w:kern w:val="0"/>
                            <w:sz w:val="30"/>
                            <w:szCs w:val="30"/>
                          </w:rPr>
                          <w:br w:type="textWrapping"/>
                        </w:r>
                        <w:r>
                          <w:rPr>
                            <w:rFonts w:ascii="宋体" w:hAnsi="宋体" w:eastAsia="宋体" w:cs="宋体"/>
                            <w:b/>
                            <w:bCs/>
                            <w:color w:val="000000"/>
                            <w:kern w:val="0"/>
                            <w:sz w:val="30"/>
                            <w:szCs w:val="30"/>
                          </w:rPr>
                          <w:t>一般项目申报工作的通知 </w:t>
                        </w:r>
                        <w:r>
                          <w:rPr>
                            <w:rFonts w:ascii="宋体" w:hAnsi="宋体" w:eastAsia="宋体" w:cs="宋体"/>
                            <w:b/>
                            <w:bCs/>
                            <w:color w:val="000000"/>
                            <w:kern w:val="0"/>
                            <w:sz w:val="30"/>
                            <w:szCs w:val="30"/>
                          </w:rPr>
                          <w:br w:type="textWrapping"/>
                        </w:r>
                        <w:r>
                          <w:rPr>
                            <w:rFonts w:ascii="宋体" w:hAnsi="宋体" w:eastAsia="宋体" w:cs="宋体"/>
                            <w:b/>
                            <w:bCs/>
                            <w:color w:val="000000"/>
                            <w:kern w:val="0"/>
                            <w:sz w:val="30"/>
                            <w:szCs w:val="30"/>
                          </w:rPr>
                          <w:t> </w:t>
                        </w:r>
                      </w:p>
                    </w:tc>
                  </w:tr>
                </w:tbl>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blCellSpacing w:w="0" w:type="dxa"/>
                <w:jc w:val="center"/>
              </w:trPr>
              <w:tc>
                <w:tcPr>
                  <w:tcW w:w="9750" w:type="dxa"/>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blCellSpacing w:w="0" w:type="dxa"/>
                <w:jc w:val="center"/>
              </w:trPr>
              <w:tc>
                <w:tcPr>
                  <w:tcW w:w="9750" w:type="dxa"/>
                  <w:vAlign w:val="center"/>
                </w:tcPr>
                <w:p>
                  <w:pPr>
                    <w:widowControl/>
                    <w:spacing w:before="100" w:beforeAutospacing="1" w:after="100" w:afterAutospacing="1" w:line="355" w:lineRule="atLeast"/>
                    <w:jc w:val="left"/>
                    <w:rPr>
                      <w:rFonts w:ascii="宋体" w:hAnsi="宋体" w:eastAsia="宋体" w:cs="宋体"/>
                      <w:kern w:val="0"/>
                      <w:sz w:val="22"/>
                    </w:rPr>
                  </w:pPr>
                  <w:r>
                    <w:rPr>
                      <w:rFonts w:ascii="Arial" w:hAnsi="Arial" w:eastAsia="宋体" w:cs="Arial"/>
                      <w:kern w:val="0"/>
                      <w:sz w:val="22"/>
                    </w:rPr>
                    <w:t>各省、自治区、直辖市教育厅（教委），新疆生产建设兵团教育局，有关部门（单位）教育司（局），部属各高等学校、部省合建各高等学校：</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按照部门预算要求，2019年度教育部人文社会科学研究一般项目申报工作于2018年启动。根据《教育部人文社会科学研究项目管理办法》（教社科〔2006〕2号），为做好2019年度教育部人文社会科学研究一般项目（以下简称一般项目）申报工作，现将有关事项通知如下：</w:t>
                  </w:r>
                  <w:r>
                    <w:rPr>
                      <w:rFonts w:ascii="Arial" w:hAnsi="Arial" w:eastAsia="宋体" w:cs="Arial"/>
                      <w:kern w:val="0"/>
                      <w:sz w:val="22"/>
                    </w:rPr>
                    <w:br w:type="textWrapping"/>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b/>
                      <w:bCs/>
                      <w:kern w:val="0"/>
                      <w:sz w:val="22"/>
                    </w:rPr>
                    <w:t>一、指导思想</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高举中国特色社会主义伟大旗帜，深入学习研究宣传阐释习近平新时代中国特色社会主义思想和党的十九大精神，认真落实中共中央印发的《关于加快构建中国特色哲学社会科学的意见》要求，以重大理论与现实问题为主攻方向，坚持基础研究和应用研究并重，推动高校加快构建中国特色哲学社会科学，为党和国家事业发展服务。</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b/>
                      <w:bCs/>
                      <w:kern w:val="0"/>
                      <w:sz w:val="22"/>
                    </w:rPr>
                    <w:t>二、申报内容</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本次项目申报不设申报指南（专项任务项目除外），申请者根据自身的研究基础和学术特长，认真凝练、自行拟定研究课题。研究课题名称应表述规范、准确、简洁。</w:t>
                  </w:r>
                  <w:r>
                    <w:rPr>
                      <w:rFonts w:ascii="Arial" w:hAnsi="Arial" w:eastAsia="宋体" w:cs="Arial"/>
                      <w:kern w:val="0"/>
                      <w:sz w:val="22"/>
                    </w:rPr>
                    <w:br w:type="textWrapping"/>
                  </w:r>
                  <w:r>
                    <w:rPr>
                      <w:rFonts w:ascii="Arial" w:hAnsi="Arial" w:eastAsia="宋体" w:cs="Arial"/>
                      <w:kern w:val="0"/>
                      <w:sz w:val="22"/>
                    </w:rPr>
                    <w:t>　　申请者要认真学习领会习近平新时代中国特色社会主义思想和党的十九大精神，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1.项目类别及资助额度</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一般项目的研究期限为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思想政治工作专项、高校示范马克思主义学院和优秀教学科研团队建设项目、工程科技人才培养研究专项、教育廉政理论研究专项，具体申报条件和通知将另行发布。</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为支持西部和边疆地区高校人文社会科学研究发展，本次项目继续设立西部和边疆地区项目及新疆、西藏项目，不单独组织申报，申报条件与评审具体事项与一般项目相同。</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2.项目申报学科范围</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b/>
                      <w:bCs/>
                      <w:kern w:val="0"/>
                      <w:sz w:val="22"/>
                    </w:rPr>
                    <w:t>三、申报条件</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1.本次项目限全国普通高等学校申报。</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2.申请者必须能够实际从事研究工作并真正承担和负责组织项目的实施；每个申请者限报1项，所列课题组成员必须征得本人同意并签字，否则视为违规申报。</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3.申请者除符合《教育部人文社会科学研究项目管理办法》的相关规定外，还必须符合下列条件：</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（1）规划基金项目申请者，应为具有高级职称（含副高）的在编在岗教师。</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（2）青年基金项目申请者，应为具有博士学位或中级以上（含中级）职称的在编在岗教师，年龄不超过40周岁（1978年7月1日以后出生）。</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3）自筹经费项目申请者，须在《教育部人文社会科学研究一般项目申请评审书》（以下简称《申请评审书》）后附上学校财务处提供的委托研究单位经费到账凭证或银行回单等证明材料复印件，同时填写《申请评审书》中的“其他来源经费”栏。</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4.有以下情况之一者不得申报本次项目：</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（1）在研的教育部人文社会科学研究项目（含重大攻关项目、基地重大项目、后期资助项目、一般项目等）负责人；</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（2）所主持的教育部人文社会科学研究项目自2016年（含）以来因各种原因被撤销者；</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（3）在研的国家社科基金项目（含重大招标项目、重点项目、一般项目、青年项目、后期资助项目、西部项目和单列学科项目等）、国家自然科学基金各类项目负责人，以上项目若已结项需附相关证明。</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（4）连续两年（指2017、2018年）申请一般项目未获资助的申请人，暂停2019年申报资格。</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b/>
                      <w:bCs/>
                      <w:kern w:val="0"/>
                      <w:sz w:val="22"/>
                    </w:rPr>
                    <w:t>四、申报办法及程序</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1.教育部直属高校、部省合建高校以学校为单位，地方高校以省、自治区、直辖市教育厅（教委）为单位，其他有关部门（单位）所属高校以教育司（局）为单位（以下简称申报单位），集中申报，不受理个人申报。</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2.申报程序</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（1）本次项目采取网上申报方式。《申请评审书》启用2019年新版本，以前版本无效。</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（2）教育部人文社会科学研究管理平台项目申报系统（以下简称申报系统）为本次项目申报平台，请及时关注教育部社科司主页（</w:t>
                  </w:r>
                  <w:r>
                    <w:fldChar w:fldCharType="begin"/>
                  </w:r>
                  <w:r>
                    <w:instrText xml:space="preserve"> HYPERLINK "http://www.moe.edu.cn/s78/A13/" </w:instrText>
                  </w:r>
                  <w:r>
                    <w:fldChar w:fldCharType="separate"/>
                  </w:r>
                  <w:r>
                    <w:rPr>
                      <w:rFonts w:ascii="Arial" w:hAnsi="Arial" w:eastAsia="宋体" w:cs="Arial"/>
                      <w:color w:val="0000FF"/>
                      <w:kern w:val="0"/>
                      <w:sz w:val="22"/>
                      <w:u w:val="single"/>
                    </w:rPr>
                    <w:t>www.moe.edu.cn/s78/A13/</w:t>
                  </w:r>
                  <w:r>
                    <w:rPr>
                      <w:rFonts w:ascii="Arial" w:hAnsi="Arial" w:eastAsia="宋体" w:cs="Arial"/>
                      <w:color w:val="0000FF"/>
                      <w:kern w:val="0"/>
                      <w:sz w:val="22"/>
                      <w:u w:val="single"/>
                    </w:rPr>
                    <w:fldChar w:fldCharType="end"/>
                  </w:r>
                  <w:r>
                    <w:rPr>
                      <w:rFonts w:ascii="Arial" w:hAnsi="Arial" w:eastAsia="宋体" w:cs="Arial"/>
                      <w:kern w:val="0"/>
                      <w:sz w:val="22"/>
                    </w:rPr>
                    <w:t>），网络申报办法和流程以该系统为准。</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（3）自2018年8月6日开始受理项目网上申报。申请者可访问申报系统下载《申请评审书》，按申报系统提示说明及《申请评审书》填表要求用计算机填写、打印，并通过申报系统上传《申请评审书》的电子文档。</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4）项目经费按照《高等学校哲学社会科学繁荣计划专项资金管理办法》（财教〔2016〕317号），实行严格规范的预决算管理。项目申请者应在研究期限内，根据实际需求准确测算总经费预算，合理分配分年度经费预算。经费预算合理性作为评审的重要内容，不切实际的经费预算将影响专家评审结果。年度预算执行情况是项目中期检查和结项鉴定的重要内容，并作为后续拨款的重要依据。</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5）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有关申报系统及技术问题咨询电话：010-62510667，15313766307，15313766308;信箱：</w:t>
                  </w:r>
                  <w:r>
                    <w:fldChar w:fldCharType="begin"/>
                  </w:r>
                  <w:r>
                    <w:instrText xml:space="preserve"> HYPERLINK "mailto:xmsb2019@sinoss.net" </w:instrText>
                  </w:r>
                  <w:r>
                    <w:fldChar w:fldCharType="separate"/>
                  </w:r>
                  <w:r>
                    <w:rPr>
                      <w:rFonts w:ascii="Arial" w:hAnsi="Arial" w:eastAsia="宋体" w:cs="Arial"/>
                      <w:color w:val="0000FF"/>
                      <w:kern w:val="0"/>
                      <w:sz w:val="22"/>
                      <w:u w:val="single"/>
                    </w:rPr>
                    <w:t>xmsb2019@sinoss.net</w:t>
                  </w:r>
                  <w:r>
                    <w:rPr>
                      <w:rFonts w:ascii="Arial" w:hAnsi="Arial" w:eastAsia="宋体" w:cs="Arial"/>
                      <w:color w:val="0000FF"/>
                      <w:kern w:val="0"/>
                      <w:sz w:val="22"/>
                      <w:u w:val="single"/>
                    </w:rPr>
                    <w:fldChar w:fldCharType="end"/>
                  </w:r>
                  <w:r>
                    <w:rPr>
                      <w:rFonts w:ascii="Arial" w:hAnsi="Arial" w:eastAsia="宋体" w:cs="Arial"/>
                      <w:kern w:val="0"/>
                      <w:sz w:val="22"/>
                    </w:rPr>
                    <w:t>。</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3.报送时间</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本次项目网络申报截止日期为2018年9月14日，申报单位须在此之前对本单位所申报的材料进行在线审核确认，并于2018年9月19日前报送以下纸质材料：</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（1）在线打印的《教育部人文社会科学研究一般项目申报一览表》（以下简称《申报一览表》）1份并加盖学校公章。</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（2）《申请评审书》纸质件1份（A4纸打印，左侧装订）并加盖学校公章。要求《申请评审书》的编排顺序须与《申报一览表》的打印顺序一致。</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（3）本单位计划内财务拨款账户并加盖学校公章（如拨款账户有变更，需及时登录社科网教育部人文社会科学研究管理平台进行修改）。</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寄送地址：北京市海淀区新街口外大街19号北京师范大学科技楼C区1001室，北京师范大学社科管理咨询服务中心，邮编100875。</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联系人：范明宇；联系电话：010-58805145，58802707。</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传真：010-58803011；电子信箱：</w:t>
                  </w:r>
                  <w:r>
                    <w:fldChar w:fldCharType="begin"/>
                  </w:r>
                  <w:r>
                    <w:instrText xml:space="preserve"> HYPERLINK "mailto:moesk@bnu.edu.cn" </w:instrText>
                  </w:r>
                  <w:r>
                    <w:fldChar w:fldCharType="separate"/>
                  </w:r>
                  <w:r>
                    <w:rPr>
                      <w:rFonts w:ascii="Arial" w:hAnsi="Arial" w:eastAsia="宋体" w:cs="Arial"/>
                      <w:color w:val="0000FF"/>
                      <w:kern w:val="0"/>
                      <w:sz w:val="22"/>
                      <w:u w:val="single"/>
                    </w:rPr>
                    <w:t>moesk@bnu.edu.cn</w:t>
                  </w:r>
                  <w:r>
                    <w:rPr>
                      <w:rFonts w:ascii="Arial" w:hAnsi="Arial" w:eastAsia="宋体" w:cs="Arial"/>
                      <w:color w:val="0000FF"/>
                      <w:kern w:val="0"/>
                      <w:sz w:val="22"/>
                      <w:u w:val="single"/>
                    </w:rPr>
                    <w:fldChar w:fldCharType="end"/>
                  </w:r>
                  <w:r>
                    <w:rPr>
                      <w:rFonts w:ascii="Arial" w:hAnsi="Arial" w:eastAsia="宋体" w:cs="Arial"/>
                      <w:kern w:val="0"/>
                      <w:sz w:val="22"/>
                    </w:rPr>
                    <w:t>。</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b/>
                      <w:bCs/>
                      <w:kern w:val="0"/>
                      <w:sz w:val="22"/>
                    </w:rPr>
                    <w:t>五、其他要求</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1.申请者应认真阅研《教育部人文社会科学研究项目管理办法》及以往立项情况，提高申报质量，避免重复申报。</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2.各申报单位网上提交的《申请评审书》和签字盖章的纸质件数量与内容要确保一致，否则不予受理。</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3.本次项目评审采取匿名方式。为保证评审的公平公正，《申请评审书》B表中不得出现申请者姓名、所在学校等有关信息，否则按作废处理。</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4.申请者应如实填报材料，确保无知识产权争议。凡存在弄虚作假、抄袭剽窃等行为的，一经查实即取消三年申报资格。</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5.各申报单位应严格把关，确保填报信息的准确、真实，切实提高项目申报质量。如违规申报，将予以通报批评。</w:t>
                  </w:r>
                </w:p>
                <w:p>
                  <w:pPr>
                    <w:widowControl/>
                    <w:spacing w:before="100" w:beforeAutospacing="1" w:after="100" w:afterAutospacing="1" w:line="355" w:lineRule="atLeast"/>
                    <w:jc w:val="left"/>
                    <w:rPr>
                      <w:rFonts w:ascii="Arial" w:hAnsi="Arial" w:eastAsia="宋体" w:cs="Arial"/>
                      <w:kern w:val="0"/>
                      <w:sz w:val="22"/>
                    </w:rPr>
                  </w:pPr>
                  <w:r>
                    <w:rPr>
                      <w:rFonts w:ascii="Arial" w:hAnsi="Arial" w:eastAsia="宋体" w:cs="Arial"/>
                      <w:kern w:val="0"/>
                      <w:szCs w:val="21"/>
                    </w:rPr>
                    <w:t>　　</w:t>
                  </w:r>
                  <w:r>
                    <w:rPr>
                      <w:rFonts w:ascii="Arial" w:hAnsi="Arial" w:eastAsia="宋体" w:cs="Arial"/>
                      <w:kern w:val="0"/>
                      <w:sz w:val="22"/>
                    </w:rPr>
                    <w:t>教育部社会科学司科研处联系人：段洪波</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联系电话：010-66097563</w:t>
                  </w:r>
                  <w:r>
                    <w:rPr>
                      <w:rFonts w:ascii="Arial" w:hAnsi="Arial" w:eastAsia="宋体" w:cs="Arial"/>
                      <w:kern w:val="0"/>
                      <w:sz w:val="22"/>
                    </w:rPr>
                    <w:br w:type="textWrapping"/>
                  </w:r>
                  <w:r>
                    <w:rPr>
                      <w:rFonts w:ascii="Arial" w:hAnsi="Arial" w:eastAsia="宋体" w:cs="Arial"/>
                      <w:kern w:val="0"/>
                      <w:szCs w:val="21"/>
                    </w:rPr>
                    <w:t>　　</w:t>
                  </w:r>
                  <w:r>
                    <w:rPr>
                      <w:rFonts w:ascii="Arial" w:hAnsi="Arial" w:eastAsia="宋体" w:cs="Arial"/>
                      <w:kern w:val="0"/>
                      <w:sz w:val="22"/>
                    </w:rPr>
                    <w:t>电子信箱：</w:t>
                  </w:r>
                  <w:r>
                    <w:fldChar w:fldCharType="begin"/>
                  </w:r>
                  <w:r>
                    <w:instrText xml:space="preserve"> HYPERLINK "mailto:ghc@moe.edu.cn" </w:instrText>
                  </w:r>
                  <w:r>
                    <w:fldChar w:fldCharType="separate"/>
                  </w:r>
                  <w:r>
                    <w:rPr>
                      <w:rFonts w:ascii="Arial" w:hAnsi="Arial" w:eastAsia="宋体" w:cs="Arial"/>
                      <w:color w:val="0000FF"/>
                      <w:kern w:val="0"/>
                      <w:sz w:val="22"/>
                      <w:u w:val="single"/>
                    </w:rPr>
                    <w:t>ghc@moe.edu.cn</w:t>
                  </w:r>
                  <w:r>
                    <w:rPr>
                      <w:rFonts w:ascii="Arial" w:hAnsi="Arial" w:eastAsia="宋体" w:cs="Arial"/>
                      <w:color w:val="0000FF"/>
                      <w:kern w:val="0"/>
                      <w:sz w:val="22"/>
                      <w:u w:val="single"/>
                    </w:rPr>
                    <w:fldChar w:fldCharType="end"/>
                  </w:r>
                </w:p>
                <w:p>
                  <w:pPr>
                    <w:widowControl/>
                    <w:spacing w:before="100" w:beforeAutospacing="1" w:after="100" w:afterAutospacing="1" w:line="355" w:lineRule="atLeast"/>
                    <w:jc w:val="left"/>
                    <w:rPr>
                      <w:rFonts w:ascii="Arial" w:hAnsi="Arial" w:eastAsia="宋体" w:cs="Arial"/>
                      <w:kern w:val="0"/>
                      <w:sz w:val="22"/>
                    </w:rPr>
                  </w:pPr>
                  <w:r>
                    <w:rPr>
                      <w:rFonts w:ascii="Arial" w:hAnsi="Arial" w:eastAsia="宋体" w:cs="Arial"/>
                      <w:kern w:val="0"/>
                      <w:sz w:val="22"/>
                    </w:rPr>
                    <w:t>　　附件：</w:t>
                  </w:r>
                  <w:r>
                    <w:fldChar w:fldCharType="begin"/>
                  </w:r>
                  <w:r>
                    <w:instrText xml:space="preserve"> HYPERLINK "https://www.sinoss.net/uploadfile/2018/0731/20180731051048277.pdf" \t "_blank" </w:instrText>
                  </w:r>
                  <w:r>
                    <w:fldChar w:fldCharType="separate"/>
                  </w:r>
                  <w:r>
                    <w:rPr>
                      <w:rFonts w:ascii="Arial" w:hAnsi="Arial" w:eastAsia="宋体" w:cs="Arial"/>
                      <w:color w:val="0000FF"/>
                      <w:kern w:val="0"/>
                      <w:sz w:val="22"/>
                      <w:u w:val="single"/>
                    </w:rPr>
                    <w:t>2019年教育部人文社会科学一般项目申报常见问题释疑</w:t>
                  </w:r>
                  <w:r>
                    <w:rPr>
                      <w:rFonts w:ascii="Arial" w:hAnsi="Arial" w:eastAsia="宋体" w:cs="Arial"/>
                      <w:color w:val="0000FF"/>
                      <w:kern w:val="0"/>
                      <w:sz w:val="22"/>
                      <w:u w:val="single"/>
                    </w:rPr>
                    <w:fldChar w:fldCharType="end"/>
                  </w:r>
                </w:p>
                <w:p>
                  <w:pPr>
                    <w:widowControl/>
                    <w:spacing w:before="100" w:beforeAutospacing="1" w:after="100" w:afterAutospacing="1" w:line="355" w:lineRule="atLeast"/>
                    <w:jc w:val="right"/>
                    <w:rPr>
                      <w:rFonts w:ascii="Arial" w:hAnsi="Arial" w:eastAsia="宋体" w:cs="Arial"/>
                      <w:kern w:val="0"/>
                      <w:sz w:val="22"/>
                    </w:rPr>
                  </w:pPr>
                  <w:r>
                    <w:rPr>
                      <w:rFonts w:ascii="Arial" w:hAnsi="Arial" w:eastAsia="宋体" w:cs="Arial"/>
                      <w:kern w:val="0"/>
                      <w:sz w:val="22"/>
                    </w:rPr>
                    <w:t>                              教育部社会科学司</w:t>
                  </w:r>
                  <w:r>
                    <w:rPr>
                      <w:rFonts w:ascii="Arial" w:hAnsi="Arial" w:eastAsia="宋体" w:cs="Arial"/>
                      <w:kern w:val="0"/>
                      <w:sz w:val="22"/>
                    </w:rPr>
                    <w:br w:type="textWrapping"/>
                  </w:r>
                  <w:r>
                    <w:rPr>
                      <w:rFonts w:ascii="Arial" w:hAnsi="Arial" w:eastAsia="宋体" w:cs="Arial"/>
                      <w:kern w:val="0"/>
                      <w:sz w:val="22"/>
                    </w:rPr>
                    <w:t>                               2018年7月31</w:t>
                  </w:r>
                  <w:r>
                    <w:rPr>
                      <w:rFonts w:hint="eastAsia" w:ascii="Arial" w:hAnsi="Arial" w:eastAsia="宋体" w:cs="Arial"/>
                      <w:kern w:val="0"/>
                      <w:sz w:val="22"/>
                    </w:rPr>
                    <w:t>日</w:t>
                  </w:r>
                </w:p>
              </w:tc>
            </w:tr>
          </w:tbl>
          <w:p>
            <w:pPr>
              <w:widowControl/>
              <w:jc w:val="center"/>
              <w:rPr>
                <w:rFonts w:ascii="宋体" w:hAnsi="宋体" w:eastAsia="宋体" w:cs="宋体"/>
                <w:kern w:val="0"/>
                <w:sz w:val="24"/>
                <w:szCs w:val="24"/>
              </w:rPr>
            </w:pP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6D1"/>
    <w:rsid w:val="000016D1"/>
    <w:rsid w:val="008C2A4C"/>
    <w:rsid w:val="00FC2BD4"/>
    <w:rsid w:val="28A41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3</Pages>
  <Words>578</Words>
  <Characters>3298</Characters>
  <Lines>27</Lines>
  <Paragraphs>7</Paragraphs>
  <TotalTime>0</TotalTime>
  <ScaleCrop>false</ScaleCrop>
  <LinksUpToDate>false</LinksUpToDate>
  <CharactersWithSpaces>3869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2018-08-03T02:20:00Z</dcterms:created>
  <dc:creator>China</dc:creator>
  <cp:lastModifiedBy>gzqy</cp:lastModifiedBy>
  <dcterms:modified xsi:type="dcterms:W3CDTF">2018-08-06T09:45:14Z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